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80"/>
        <w:jc w:val="right"/>
        <w:bidi w:val="1"/>
      </w:pPr>
      <w:r>
        <w:rPr>
          <w:rFonts w:ascii="Noto Kufi Arabic" w:hAnsi="Noto Kufi Arabic" w:cs="Noto Kufi Arabic" w:eastAsia="Noto Kufi Arabic"/>
          <w:b/>
          <w:color w:val="9A7650"/>
          <w:sz w:val="30"/>
        </w:rPr>
        <w:t>IbraheemHabib.sa</w:t>
      </w:r>
    </w:p>
    <w:p>
      <w:pPr>
        <w:pStyle w:val="Title"/>
        <w:spacing w:after="200"/>
        <w:jc w:val="right"/>
        <w:bidi w:val="1"/>
        <w:pBdr>
          <w:top w:val="nil"/>
          <w:left w:val="nil"/>
          <w:bottom w:val="nil"/>
          <w:right w:val="nil"/>
          <w:between w:val="nil"/>
          <w:bar w:val="nil"/>
        </w:pBdr>
      </w:pPr>
      <w:r>
        <w:rPr>
          <w:rFonts w:ascii="Noto Kufi Arabic" w:hAnsi="Noto Kufi Arabic" w:cs="Noto Kufi Arabic" w:eastAsia="Noto Kufi Arabic"/>
          <w:b/>
          <w:color w:val="263238"/>
          <w:sz w:val="52"/>
        </w:rPr>
        <w:t>سياسة الدفع والاسترجاع</w:t>
      </w:r>
    </w:p>
    <w:p>
      <w:pPr>
        <w:spacing w:after="560"/>
        <w:jc w:val="right"/>
        <w:bidi w:val="1"/>
      </w:pPr>
      <w:r>
        <w:rPr>
          <w:rFonts w:ascii="Noto Sans Arabic" w:hAnsi="Noto Sans Arabic" w:cs="Noto Sans Arabic" w:eastAsia="Noto Sans Arabic"/>
          <w:b w:val="0"/>
          <w:color w:val="5F6368"/>
          <w:sz w:val="24"/>
        </w:rPr>
        <w:t>تنظم وسائل الدفع وتسليم المنتجات الرقمية والضمان الذهبي وإلغاء المواعيد واسترداد المبالغ</w:t>
      </w:r>
    </w:p>
    <w:tbl>
      <w:tblPr>
        <w:tblW w:type="auto" w:w="0"/>
        <w:jc w:val="right"/>
        <w:tblLayout w:type="fixed"/>
        <w:tblLook w:firstColumn="1" w:firstRow="1" w:lastColumn="0" w:lastRow="0" w:noHBand="0" w:noVBand="1" w:val="04A0"/>
        <w:tblBorders>
          <w:top w:val="single" w:sz="5" w:space="0" w:color="D7D7D7"/>
          <w:left w:val="single" w:sz="5" w:space="0" w:color="D7D7D7"/>
          <w:bottom w:val="single" w:sz="5" w:space="0" w:color="D7D7D7"/>
          <w:right w:val="single" w:sz="5" w:space="0" w:color="D7D7D7"/>
          <w:insideH w:val="single" w:sz="5" w:space="0" w:color="D7D7D7"/>
          <w:insideV w:val="single" w:sz="5" w:space="0" w:color="D7D7D7"/>
        </w:tblBorders>
      </w:tblPr>
      <w:tblGrid>
        <w:gridCol w:w="4997"/>
        <w:gridCol w:w="4997"/>
      </w:tblGrid>
      <w:tr>
        <w:trPr>
          <w:cantSplit w:val="true"/>
        </w:trPr>
        <w:tc>
          <w:tcPr>
            <w:tcW w:type="dxa" w:w="7056"/>
            <w:tcMar>
              <w:top w:w="120" w:type="dxa"/>
              <w:start w:w="150" w:type="dxa"/>
              <w:bottom w:w="120" w:type="dxa"/>
              <w:end w:w="150" w:type="dxa"/>
            </w:tcMar>
            <w:vAlign w:val="center"/>
          </w:tcPr>
          <w:p>
            <w:pPr>
              <w:jc w:val="right"/>
              <w:bidi w:val="1"/>
            </w:pPr>
            <w:hyperlink r:id="rId10">
              <w:r>
                <w:rPr>
                  <w:rFonts w:ascii="Noto Sans Arabic" w:hAnsi="Noto Sans Arabic" w:cs="Noto Sans Arabic" w:eastAsia="Noto Sans Arabic"/>
                  <w:color w:val="1A5FB4"/>
                  <w:u w:val="single"/>
                  <w:sz w:val="22"/>
                  <w:szCs w:val="22"/>
                </w:rPr>
                <w:t>IbraheemHabib.sa/PaymentPolicy</w:t>
              </w:r>
            </w:hyperlink>
          </w:p>
        </w:tc>
        <w:tc>
          <w:tcPr>
            <w:tcW w:type="dxa" w:w="2160"/>
            <w:shd w:fill="F5F1EB"/>
            <w:tcMar>
              <w:top w:w="120" w:type="dxa"/>
              <w:start w:w="150" w:type="dxa"/>
              <w:bottom w:w="120" w:type="dxa"/>
              <w:end w:w="150" w:type="dxa"/>
            </w:tcMar>
            <w:vAlign w:val="center"/>
          </w:tcPr>
          <w:p>
            <w:pPr>
              <w:jc w:val="right"/>
              <w:bidi w:val="1"/>
            </w:pPr>
            <w:r>
              <w:rPr>
                <w:rFonts w:ascii="Noto Sans Arabic" w:hAnsi="Noto Sans Arabic" w:cs="Noto Sans Arabic" w:eastAsia="Noto Sans Arabic"/>
                <w:b/>
                <w:color w:val="263238"/>
                <w:sz w:val="21"/>
              </w:rPr>
              <w:t>الرابط المعتمد</w:t>
            </w:r>
          </w:p>
        </w:tc>
      </w:tr>
      <w:tr>
        <w:trPr>
          <w:cantSplit w:val="true"/>
        </w:trPr>
        <w:tc>
          <w:tcPr>
            <w:tcW w:type="dxa" w:w="7056"/>
            <w:tcMar>
              <w:top w:w="120" w:type="dxa"/>
              <w:start w:w="150" w:type="dxa"/>
              <w:bottom w:w="120" w:type="dxa"/>
              <w:end w:w="150" w:type="dxa"/>
            </w:tcMar>
            <w:vAlign w:val="center"/>
          </w:tcPr>
          <w:p>
            <w:pPr>
              <w:jc w:val="right"/>
              <w:bidi w:val="1"/>
            </w:pPr>
            <w:r>
              <w:rPr>
                <w:rFonts w:ascii="Noto Sans Arabic" w:hAnsi="Noto Sans Arabic" w:cs="Noto Sans Arabic" w:eastAsia="Noto Sans Arabic"/>
                <w:color w:val="263238"/>
                <w:sz w:val="21"/>
              </w:rPr>
              <w:t>1.0</w:t>
            </w:r>
          </w:p>
        </w:tc>
        <w:tc>
          <w:tcPr>
            <w:tcW w:type="dxa" w:w="2160"/>
            <w:shd w:fill="F5F1EB"/>
            <w:tcMar>
              <w:top w:w="120" w:type="dxa"/>
              <w:start w:w="150" w:type="dxa"/>
              <w:bottom w:w="120" w:type="dxa"/>
              <w:end w:w="150" w:type="dxa"/>
            </w:tcMar>
            <w:vAlign w:val="center"/>
          </w:tcPr>
          <w:p>
            <w:pPr>
              <w:jc w:val="right"/>
              <w:bidi w:val="1"/>
            </w:pPr>
            <w:r>
              <w:rPr>
                <w:rFonts w:ascii="Noto Sans Arabic" w:hAnsi="Noto Sans Arabic" w:cs="Noto Sans Arabic" w:eastAsia="Noto Sans Arabic"/>
                <w:b/>
                <w:color w:val="263238"/>
                <w:sz w:val="21"/>
              </w:rPr>
              <w:t>الإصدار</w:t>
            </w:r>
          </w:p>
        </w:tc>
      </w:tr>
      <w:tr>
        <w:trPr>
          <w:cantSplit w:val="true"/>
        </w:trPr>
        <w:tc>
          <w:tcPr>
            <w:tcW w:type="dxa" w:w="7056"/>
            <w:tcMar>
              <w:top w:w="120" w:type="dxa"/>
              <w:start w:w="150" w:type="dxa"/>
              <w:bottom w:w="120" w:type="dxa"/>
              <w:end w:w="150" w:type="dxa"/>
            </w:tcMar>
            <w:vAlign w:val="center"/>
          </w:tcPr>
          <w:p>
            <w:pPr>
              <w:jc w:val="right"/>
              <w:bidi w:val="1"/>
            </w:pPr>
            <w:r>
              <w:rPr>
                <w:rFonts w:ascii="Noto Sans Arabic" w:hAnsi="Noto Sans Arabic" w:cs="Noto Sans Arabic" w:eastAsia="Noto Sans Arabic"/>
                <w:color w:val="263238"/>
                <w:sz w:val="21"/>
              </w:rPr>
              <w:t>17 سبتمبر 2026م</w:t>
            </w:r>
          </w:p>
        </w:tc>
        <w:tc>
          <w:tcPr>
            <w:tcW w:type="dxa" w:w="2160"/>
            <w:shd w:fill="F5F1EB"/>
            <w:tcMar>
              <w:top w:w="120" w:type="dxa"/>
              <w:start w:w="150" w:type="dxa"/>
              <w:bottom w:w="120" w:type="dxa"/>
              <w:end w:w="150" w:type="dxa"/>
            </w:tcMar>
            <w:vAlign w:val="center"/>
          </w:tcPr>
          <w:p>
            <w:pPr>
              <w:jc w:val="right"/>
              <w:bidi w:val="1"/>
            </w:pPr>
            <w:r>
              <w:rPr>
                <w:rFonts w:ascii="Noto Sans Arabic" w:hAnsi="Noto Sans Arabic" w:cs="Noto Sans Arabic" w:eastAsia="Noto Sans Arabic"/>
                <w:b/>
                <w:color w:val="263238"/>
                <w:sz w:val="21"/>
              </w:rPr>
              <w:t>آخر تحديث</w:t>
            </w:r>
          </w:p>
        </w:tc>
      </w:tr>
      <w:tr>
        <w:trPr>
          <w:cantSplit w:val="true"/>
        </w:trPr>
        <w:tc>
          <w:tcPr>
            <w:tcW w:type="dxa" w:w="7056"/>
            <w:tcMar>
              <w:top w:w="120" w:type="dxa"/>
              <w:start w:w="150" w:type="dxa"/>
              <w:bottom w:w="120" w:type="dxa"/>
              <w:end w:w="150" w:type="dxa"/>
            </w:tcMar>
            <w:vAlign w:val="center"/>
          </w:tcPr>
          <w:p>
            <w:pPr>
              <w:jc w:val="right"/>
              <w:bidi w:val="1"/>
            </w:pPr>
            <w:r>
              <w:rPr>
                <w:rFonts w:ascii="Noto Sans Arabic" w:hAnsi="Noto Sans Arabic" w:cs="Noto Sans Arabic" w:eastAsia="Noto Sans Arabic"/>
                <w:color w:val="263238"/>
                <w:sz w:val="21"/>
              </w:rPr>
              <w:t>مكة المكرمة، المملكة العربية السعودية</w:t>
            </w:r>
          </w:p>
        </w:tc>
        <w:tc>
          <w:tcPr>
            <w:tcW w:type="dxa" w:w="2160"/>
            <w:shd w:fill="F5F1EB"/>
            <w:tcMar>
              <w:top w:w="120" w:type="dxa"/>
              <w:start w:w="150" w:type="dxa"/>
              <w:bottom w:w="120" w:type="dxa"/>
              <w:end w:w="150" w:type="dxa"/>
            </w:tcMar>
            <w:vAlign w:val="center"/>
          </w:tcPr>
          <w:p>
            <w:pPr>
              <w:jc w:val="right"/>
              <w:bidi w:val="1"/>
            </w:pPr>
            <w:r>
              <w:rPr>
                <w:rFonts w:ascii="Noto Sans Arabic" w:hAnsi="Noto Sans Arabic" w:cs="Noto Sans Arabic" w:eastAsia="Noto Sans Arabic"/>
                <w:b/>
                <w:color w:val="263238"/>
                <w:sz w:val="21"/>
              </w:rPr>
              <w:t>النطاق</w:t>
            </w:r>
          </w:p>
        </w:tc>
      </w:tr>
    </w:tbl>
    <w:p>
      <w:pPr>
        <w:spacing w:before="480"/>
        <w:jc w:val="right"/>
        <w:bidi w:val="1"/>
      </w:pPr>
      <w:r>
        <w:rPr>
          <w:rFonts w:ascii="Noto Sans Arabic" w:hAnsi="Noto Sans Arabic" w:cs="Noto Sans Arabic" w:eastAsia="Noto Sans Arabic"/>
          <w:color w:val="5F6368"/>
          <w:sz w:val="21"/>
        </w:rPr>
        <w:t>وثيقة مخصصة للنشر على الموقع الإلكتروني، وتُقرأ مع السياسات الأخرى المرتبطة بها باعتبارها منظومة متكاملة.</w:t>
      </w:r>
    </w:p>
    <w:p>
      <w:r>
        <w:br w:type="page"/>
      </w:r>
    </w:p>
    <w:tbl>
      <w:tblPr>
        <w:tblW w:type="auto" w:w="0"/>
        <w:jc w:val="right"/>
        <w:tblLayout w:type="autofit"/>
        <w:tblLook w:firstColumn="1" w:firstRow="1" w:lastColumn="0" w:lastRow="0" w:noHBand="0" w:noVBand="1" w:val="04A0"/>
        <w:tblBorders>
          <w:top w:val="single" w:sz="7" w:space="0" w:color="D8C8B8"/>
          <w:left w:val="single" w:sz="7" w:space="0" w:color="D8C8B8"/>
          <w:bottom w:val="single" w:sz="7" w:space="0" w:color="D8C8B8"/>
          <w:right w:val="single" w:sz="7" w:space="0" w:color="D8C8B8"/>
          <w:insideH w:val="single" w:sz="7" w:space="0" w:color="D8C8B8"/>
          <w:insideV w:val="single" w:sz="7" w:space="0" w:color="D8C8B8"/>
        </w:tblBorders>
      </w:tblPr>
      <w:tblGrid>
        <w:gridCol w:w="9994"/>
      </w:tblGrid>
      <w:tr>
        <w:trPr>
          <w:cantSplit w:val="true"/>
        </w:trPr>
        <w:tc>
          <w:tcPr>
            <w:tcW w:type="dxa" w:w="9994"/>
            <w:shd w:fill="F5F1EB"/>
            <w:tcMar>
              <w:top w:w="160" w:type="dxa"/>
              <w:start w:w="180" w:type="dxa"/>
              <w:bottom w:w="160" w:type="dxa"/>
              <w:end w:w="180" w:type="dxa"/>
            </w:tcMar>
          </w:tcPr>
          <w:p>
            <w:pPr>
              <w:jc w:val="right"/>
              <w:bidi w:val="1"/>
            </w:pPr>
            <w:r>
              <w:rPr>
                <w:rFonts w:ascii="Noto Sans Arabic" w:hAnsi="Noto Sans Arabic" w:cs="Noto Sans Arabic" w:eastAsia="Noto Sans Arabic"/>
                <w:b/>
                <w:color w:val="9A7650"/>
                <w:sz w:val="21"/>
              </w:rPr>
              <w:t xml:space="preserve">نطاق السياسة: </w:t>
            </w:r>
            <w:r>
              <w:rPr>
                <w:rFonts w:ascii="Noto Sans Arabic" w:hAnsi="Noto Sans Arabic" w:cs="Noto Sans Arabic" w:eastAsia="Noto Sans Arabic"/>
                <w:color w:val="263238"/>
                <w:sz w:val="21"/>
              </w:rPr>
              <w:t>تطبق هذه السياسة على المدفوعات التي تتم مباشرة مع مالك الموقع أو عبر الموقع، وعلى الاسترداد والإلغاء وإعادة الجدولة، وهي مكملة للشروط والأحكام. المعاملات التي تتم بالكامل لدى منصة خارجية مستقلة تخضع كذلك لسياسة تلك المنصة بحسب دورها في المعاملة.</w:t>
            </w:r>
          </w:p>
        </w:tc>
      </w:tr>
    </w:tbl>
    <w:p>
      <w:pPr>
        <w:spacing w:after="20"/>
      </w:pPr>
    </w:p>
    <w:tbl>
      <w:tblPr>
        <w:tblW w:type="auto" w:w="0"/>
        <w:jc w:val="right"/>
        <w:tblLayout w:type="autofit"/>
        <w:tblLook w:firstColumn="1" w:firstRow="1" w:lastColumn="0" w:lastRow="0" w:noHBand="0" w:noVBand="1" w:val="04A0"/>
        <w:tblBorders>
          <w:top w:val="single" w:sz="7" w:space="0" w:color="D8C8B8"/>
          <w:left w:val="single" w:sz="7" w:space="0" w:color="D8C8B8"/>
          <w:bottom w:val="single" w:sz="7" w:space="0" w:color="D8C8B8"/>
          <w:right w:val="single" w:sz="7" w:space="0" w:color="D8C8B8"/>
          <w:insideH w:val="single" w:sz="7" w:space="0" w:color="D8C8B8"/>
          <w:insideV w:val="single" w:sz="7" w:space="0" w:color="D8C8B8"/>
        </w:tblBorders>
      </w:tblPr>
      <w:tblGrid>
        <w:gridCol w:w="9994"/>
      </w:tblGrid>
      <w:tr>
        <w:trPr>
          <w:cantSplit w:val="true"/>
        </w:trPr>
        <w:tc>
          <w:tcPr>
            <w:tcW w:type="dxa" w:w="9994"/>
            <w:shd w:fill="F5F1EB"/>
            <w:tcMar>
              <w:top w:w="160" w:type="dxa"/>
              <w:start w:w="180" w:type="dxa"/>
              <w:bottom w:w="160" w:type="dxa"/>
              <w:end w:w="180" w:type="dxa"/>
            </w:tcMar>
          </w:tcPr>
          <w:p>
            <w:pPr>
              <w:jc w:val="right"/>
              <w:bidi w:val="1"/>
            </w:pPr>
            <w:r>
              <w:rPr>
                <w:rFonts w:ascii="Noto Sans Arabic" w:hAnsi="Noto Sans Arabic" w:cs="Noto Sans Arabic" w:eastAsia="Noto Sans Arabic"/>
                <w:b/>
                <w:color w:val="9A7650"/>
                <w:sz w:val="21"/>
              </w:rPr>
              <w:t xml:space="preserve">أولوية الأنظمة السعودية: </w:t>
            </w:r>
            <w:r>
              <w:rPr>
                <w:rFonts w:ascii="Noto Sans Arabic" w:hAnsi="Noto Sans Arabic" w:cs="Noto Sans Arabic" w:eastAsia="Noto Sans Arabic"/>
                <w:color w:val="263238"/>
                <w:sz w:val="21"/>
              </w:rPr>
              <w:t>إذا تعارض أي حكم في هذه الوثيقة مع نظام أو لائحة أو قرار أو تعليمات ملزمة نافذة في المملكة العربية السعودية، فيُعمل بالنص النظامي الملزم بالقدر الذي يقع فيه التعارض، مع بقاء بقية أحكام الوثيقة نافذة بالقدر الممكن نظامًا.</w:t>
            </w:r>
          </w:p>
        </w:tc>
      </w:tr>
    </w:tbl>
    <w:p>
      <w:pPr>
        <w:spacing w:after="20"/>
      </w:pPr>
    </w:p>
    <w:p>
      <w:pPr>
        <w:pStyle w:val="Heading1"/>
        <w:jc w:val="right"/>
        <w:bidi w:val="1"/>
        <w:keepNext/>
      </w:pPr>
      <w:r>
        <w:rPr>
          <w:rFonts w:ascii="Noto Kufi Arabic" w:hAnsi="Noto Kufi Arabic" w:cs="Noto Kufi Arabic" w:eastAsia="Noto Kufi Arabic"/>
          <w:b/>
          <w:color w:val="263238"/>
          <w:sz w:val="32"/>
        </w:rPr>
        <w:t>1. مالك الموقع والصفة المالية</w:t>
      </w:r>
    </w:p>
    <w:p>
      <w:pPr>
        <w:jc w:val="right"/>
        <w:bidi w:val="1"/>
      </w:pPr>
      <w:r>
        <w:rPr>
          <w:rFonts w:ascii="Noto Sans Arabic" w:hAnsi="Noto Sans Arabic" w:cs="Noto Sans Arabic" w:eastAsia="Noto Sans Arabic"/>
          <w:color w:val="263238"/>
          <w:sz w:val="22"/>
        </w:rPr>
        <w:t>م. إبراهيم بن سمير حبيب هو مالك ومشغّل موقع IbraheemHabib.sa، ويمارس أنشطته بموجب وثائق العمل الحر الرسمية في المملكة العربية السعودية. ترتبط كل وثيقة عمل حر بحساب تجاري رسمي مخصص لها لدى بنك محلي، ويُستخدم الحساب المناسب بحسب طبيعة المعاملة.</w:t>
      </w:r>
    </w:p>
    <w:p>
      <w:pPr>
        <w:jc w:val="right"/>
        <w:bidi w:val="1"/>
      </w:pPr>
      <w:r>
        <w:rPr>
          <w:rFonts w:ascii="Noto Sans Arabic" w:hAnsi="Noto Sans Arabic" w:cs="Noto Sans Arabic" w:eastAsia="Noto Sans Arabic"/>
          <w:color w:val="263238"/>
          <w:sz w:val="22"/>
        </w:rPr>
        <w:t>تُدار المدفوعات البنكية المتعلقة بالاستشارات والبرامج التطويرية من خلال الحساب التجاري الرسمي المرتبط بالوثيقة ذات العلاقة لدى مصرف الراجحي، وتُدار المدفوعات المتعلقة بالكتب والمنتجات الرقمية من خلال الحساب التجاري الرسمي المرتبط بالوثيقة ذات العلاقة لدى مصرف الإنماء، أو عبر أي حساب/وسيلة تجارية رسمية يتم الإفصاح عنها مستقبلًا وفق الأنظمة.</w:t>
      </w:r>
    </w:p>
    <w:p>
      <w:pPr>
        <w:pStyle w:val="Heading1"/>
        <w:jc w:val="right"/>
        <w:bidi w:val="1"/>
        <w:keepNext/>
      </w:pPr>
      <w:r>
        <w:rPr>
          <w:rFonts w:ascii="Noto Kufi Arabic" w:hAnsi="Noto Kufi Arabic" w:cs="Noto Kufi Arabic" w:eastAsia="Noto Kufi Arabic"/>
          <w:b/>
          <w:color w:val="263238"/>
          <w:sz w:val="32"/>
        </w:rPr>
        <w:t>2. الأسعار وضريبة القيمة المضافة</w:t>
      </w:r>
    </w:p>
    <w:p>
      <w:pPr>
        <w:jc w:val="right"/>
        <w:bidi w:val="1"/>
      </w:pPr>
      <w:r>
        <w:rPr>
          <w:rFonts w:ascii="Noto Sans Arabic" w:hAnsi="Noto Sans Arabic" w:cs="Noto Sans Arabic" w:eastAsia="Noto Sans Arabic"/>
          <w:color w:val="263238"/>
          <w:sz w:val="22"/>
        </w:rPr>
        <w:t>تُعرض الأسعار بالريال السعودي ما لم يذكر خلاف ذلك. يوضح السعر النهائي وأي رسوم إضافية واجبة قبل إتمام الدفع قدر الإمكان بحسب طبيعة المعاملة.</w:t>
      </w:r>
    </w:p>
    <w:p>
      <w:pPr>
        <w:jc w:val="right"/>
        <w:bidi w:val="1"/>
      </w:pPr>
      <w:r>
        <w:rPr>
          <w:rFonts w:ascii="Noto Sans Arabic" w:hAnsi="Noto Sans Arabic" w:cs="Noto Sans Arabic" w:eastAsia="Noto Sans Arabic"/>
          <w:color w:val="263238"/>
          <w:sz w:val="22"/>
        </w:rPr>
        <w:t>في تاريخ آخر تحديث لهذه السياسة، مالك الموقع غير مسجل في ضريبة القيمة المضافة. وإذا أصبح التسجيل واجبًا نظامًا أو تم التسجيل اختياريًا، فسيتم تطبيق الضريبة والإفصاح عنها في الأسعار والفواتير وفق الأنظمة والتعليمات السارية من تاريخ انطباقها.</w:t>
      </w:r>
    </w:p>
    <w:p>
      <w:pPr>
        <w:pStyle w:val="Heading1"/>
        <w:jc w:val="right"/>
        <w:bidi w:val="1"/>
        <w:keepNext/>
      </w:pPr>
      <w:r>
        <w:rPr>
          <w:rFonts w:ascii="Noto Kufi Arabic" w:hAnsi="Noto Kufi Arabic" w:cs="Noto Kufi Arabic" w:eastAsia="Noto Kufi Arabic"/>
          <w:b/>
          <w:color w:val="263238"/>
          <w:sz w:val="32"/>
        </w:rPr>
        <w:t>3. وسائل الدفع</w:t>
      </w:r>
    </w:p>
    <w:p>
      <w:pPr>
        <w:jc w:val="right"/>
        <w:bidi w:val="1"/>
      </w:pPr>
      <w:r>
        <w:rPr>
          <w:rFonts w:ascii="Noto Sans Arabic" w:hAnsi="Noto Sans Arabic" w:cs="Noto Sans Arabic" w:eastAsia="Noto Sans Arabic"/>
          <w:color w:val="263238"/>
          <w:sz w:val="22"/>
        </w:rPr>
        <w:t>تظهر وسائل الدفع المتاحة فعليًا للعميل عند إتمام الطلب أو في العرض المالي، وقد تشمل بحسب التفعيل والاتفاق مع مزودي الخدمة:</w:t>
      </w:r>
    </w:p>
    <w:p>
      <w:pPr>
        <w:spacing w:after="60"/>
        <w:ind w:left="0" w:right="288" w:hanging="173"/>
        <w:jc w:val="right"/>
        <w:bidi w:val="1"/>
      </w:pPr>
      <w:r>
        <w:rPr>
          <w:rFonts w:ascii="Noto Sans Arabic" w:hAnsi="Noto Sans Arabic" w:cs="Noto Sans Arabic" w:eastAsia="Noto Sans Arabic"/>
          <w:color w:val="263238"/>
          <w:sz w:val="22"/>
        </w:rPr>
        <w:t>• بطاقات مدى.</w:t>
      </w:r>
    </w:p>
    <w:p>
      <w:pPr>
        <w:spacing w:after="60"/>
        <w:ind w:left="0" w:right="288" w:hanging="173"/>
        <w:jc w:val="right"/>
        <w:bidi w:val="1"/>
      </w:pPr>
      <w:r>
        <w:rPr>
          <w:rFonts w:ascii="Noto Sans Arabic" w:hAnsi="Noto Sans Arabic" w:cs="Noto Sans Arabic" w:eastAsia="Noto Sans Arabic"/>
          <w:color w:val="263238"/>
          <w:sz w:val="22"/>
        </w:rPr>
        <w:t>• Visa وMastercard.</w:t>
      </w:r>
    </w:p>
    <w:p>
      <w:pPr>
        <w:spacing w:after="60"/>
        <w:ind w:left="0" w:right="288" w:hanging="173"/>
        <w:jc w:val="right"/>
        <w:bidi w:val="1"/>
      </w:pPr>
      <w:r>
        <w:rPr>
          <w:rFonts w:ascii="Noto Sans Arabic" w:hAnsi="Noto Sans Arabic" w:cs="Noto Sans Arabic" w:eastAsia="Noto Sans Arabic"/>
          <w:color w:val="263238"/>
          <w:sz w:val="22"/>
        </w:rPr>
        <w:t>• Apple Pay أو STC Pay أو غيرها من المحافظ إذا كانت مدعومة ضمن باقة بوابة الدفع.</w:t>
      </w:r>
    </w:p>
    <w:p>
      <w:pPr>
        <w:spacing w:after="60"/>
        <w:ind w:left="0" w:right="288" w:hanging="173"/>
        <w:jc w:val="right"/>
        <w:bidi w:val="1"/>
      </w:pPr>
      <w:r>
        <w:rPr>
          <w:rFonts w:ascii="Noto Sans Arabic" w:hAnsi="Noto Sans Arabic" w:cs="Noto Sans Arabic" w:eastAsia="Noto Sans Arabic"/>
          <w:color w:val="263238"/>
          <w:sz w:val="22"/>
        </w:rPr>
        <w:t>• التحويل البنكي إلى الحساب التجاري الرسمي المناسب لطبيعة الخدمة أو المنتج.</w:t>
      </w:r>
    </w:p>
    <w:p>
      <w:pPr>
        <w:spacing w:after="60"/>
        <w:ind w:left="0" w:right="288" w:hanging="173"/>
        <w:jc w:val="right"/>
        <w:bidi w:val="1"/>
      </w:pPr>
      <w:r>
        <w:rPr>
          <w:rFonts w:ascii="Noto Sans Arabic" w:hAnsi="Noto Sans Arabic" w:cs="Noto Sans Arabic" w:eastAsia="Noto Sans Arabic"/>
          <w:color w:val="263238"/>
          <w:sz w:val="22"/>
        </w:rPr>
        <w:t>• أي وسيلة دفع إلكترونية أخرى معتمدة يضيفها الموقع مستقبلًا.</w:t>
      </w:r>
    </w:p>
    <w:p>
      <w:pPr>
        <w:jc w:val="right"/>
        <w:bidi w:val="1"/>
      </w:pPr>
      <w:r>
        <w:rPr>
          <w:rFonts w:ascii="Noto Sans Arabic" w:hAnsi="Noto Sans Arabic" w:cs="Noto Sans Arabic" w:eastAsia="Noto Sans Arabic"/>
          <w:color w:val="263238"/>
          <w:sz w:val="22"/>
        </w:rPr>
        <w:t>قد تُنفذ عمليات الدفع الإلكترونية عبر بوابة دفع مستقلة مثل «ميسر» أو غيرها من البوابات التي يتم التعاقد معها. تخضع عملية معالجة البطاقة والأمان المالي كذلك لشروط مزود الدفع، ولا يحتفظ الموقع - كقاعدة عامة - برقم البطاقة الكامل إذا كانت المعالجة تتم لدى البوابة مباشرة.</w:t>
      </w:r>
    </w:p>
    <w:p>
      <w:pPr>
        <w:pStyle w:val="Heading1"/>
        <w:jc w:val="right"/>
        <w:bidi w:val="1"/>
        <w:keepNext/>
      </w:pPr>
      <w:r>
        <w:rPr>
          <w:rFonts w:ascii="Noto Kufi Arabic" w:hAnsi="Noto Kufi Arabic" w:cs="Noto Kufi Arabic" w:eastAsia="Noto Kufi Arabic"/>
          <w:b/>
          <w:color w:val="263238"/>
          <w:sz w:val="32"/>
        </w:rPr>
        <w:t>4. التحويل البنكي والتحقق من الدفع</w:t>
      </w:r>
    </w:p>
    <w:p>
      <w:pPr>
        <w:jc w:val="right"/>
        <w:bidi w:val="1"/>
      </w:pPr>
      <w:r>
        <w:rPr>
          <w:rFonts w:ascii="Noto Sans Arabic" w:hAnsi="Noto Sans Arabic" w:cs="Noto Sans Arabic" w:eastAsia="Noto Sans Arabic"/>
          <w:color w:val="263238"/>
          <w:sz w:val="22"/>
        </w:rPr>
        <w:t>في حال اختيار التحويل البنكي، يجب استخدام بيانات الحساب التجاري التي يعرضها الموقع أو يرسلها مالك الموقع بصورة رسمية، مع ذكر رقم الطلب أو الوصف المطلوب عند الحاجة. لا يعد الطلب مدفوعًا نهائيًا حتى يتم التحقق من وصول المبلغ إلى الحساب الصحيح.</w:t>
      </w:r>
    </w:p>
    <w:p>
      <w:pPr>
        <w:jc w:val="right"/>
        <w:bidi w:val="1"/>
      </w:pPr>
      <w:r>
        <w:rPr>
          <w:rFonts w:ascii="Noto Sans Arabic" w:hAnsi="Noto Sans Arabic" w:cs="Noto Sans Arabic" w:eastAsia="Noto Sans Arabic"/>
          <w:color w:val="263238"/>
          <w:sz w:val="22"/>
        </w:rPr>
        <w:t>قد يطلب مالك الموقع إثبات التحويل أو بيانات لازمة للمطابقة المحاسبية، مع مراعاة عدم طلب معلومات بنكية أو شخصية تتجاوز الحاجة الفعلية.</w:t>
      </w:r>
    </w:p>
    <w:p>
      <w:pPr>
        <w:pStyle w:val="Heading1"/>
        <w:jc w:val="right"/>
        <w:bidi w:val="1"/>
        <w:keepNext/>
      </w:pPr>
      <w:r>
        <w:rPr>
          <w:rFonts w:ascii="Noto Kufi Arabic" w:hAnsi="Noto Kufi Arabic" w:cs="Noto Kufi Arabic" w:eastAsia="Noto Kufi Arabic"/>
          <w:b/>
          <w:color w:val="263238"/>
          <w:sz w:val="32"/>
        </w:rPr>
        <w:t>5. الفاتورة وإثبات الشراء</w:t>
      </w:r>
    </w:p>
    <w:p>
      <w:pPr>
        <w:jc w:val="right"/>
        <w:bidi w:val="1"/>
      </w:pPr>
      <w:r>
        <w:rPr>
          <w:rFonts w:ascii="Noto Sans Arabic" w:hAnsi="Noto Sans Arabic" w:cs="Noto Sans Arabic" w:eastAsia="Noto Sans Arabic"/>
          <w:color w:val="263238"/>
          <w:sz w:val="22"/>
        </w:rPr>
        <w:t>بعد إتمام عملية الشراء، يُرسل للعميل إثبات الطلب والفاتورة أو المستند المالي المتاح عبر WooCommerce أو النظام المستخدم، عادة إلى البريد الإلكتروني المسجل. ويُبين المستند - بحسب طبيعة المعاملة - المنتج أو الخدمة والتكلفة الإجمالية وأي رسوم أو ضرائب واجبة إن وجدت.</w:t>
      </w:r>
    </w:p>
    <w:p>
      <w:pPr>
        <w:jc w:val="right"/>
        <w:bidi w:val="1"/>
      </w:pPr>
      <w:r>
        <w:rPr>
          <w:rFonts w:ascii="Noto Sans Arabic" w:hAnsi="Noto Sans Arabic" w:cs="Noto Sans Arabic" w:eastAsia="Noto Sans Arabic"/>
          <w:color w:val="263238"/>
          <w:sz w:val="22"/>
        </w:rPr>
        <w:t>لا تعد الفاتورة «فاتورة ضريبية لضريبة القيمة المضافة» إلا إذا كان مالك الموقع مسجلًا في الضريبة واستوفت الفاتورة المتطلبات النظامية في وقت إصدارها.</w:t>
      </w:r>
    </w:p>
    <w:p>
      <w:pPr>
        <w:pStyle w:val="Heading1"/>
        <w:jc w:val="right"/>
        <w:bidi w:val="1"/>
        <w:keepNext/>
      </w:pPr>
      <w:r>
        <w:rPr>
          <w:rFonts w:ascii="Noto Kufi Arabic" w:hAnsi="Noto Kufi Arabic" w:cs="Noto Kufi Arabic" w:eastAsia="Noto Kufi Arabic"/>
          <w:b/>
          <w:color w:val="263238"/>
          <w:sz w:val="32"/>
        </w:rPr>
        <w:t>6. تسليم المنتجات الرقمية</w:t>
      </w:r>
    </w:p>
    <w:p>
      <w:pPr>
        <w:jc w:val="right"/>
        <w:bidi w:val="1"/>
      </w:pPr>
      <w:r>
        <w:rPr>
          <w:rFonts w:ascii="Noto Sans Arabic" w:hAnsi="Noto Sans Arabic" w:cs="Noto Sans Arabic" w:eastAsia="Noto Sans Arabic"/>
          <w:color w:val="263238"/>
          <w:sz w:val="22"/>
        </w:rPr>
        <w:t>تُسلّم المنتجات الرقمية عادة فور تأكيد الدفع أو خلال المدة الموضحة في صفحة المنتج، عن طريق البريد الإلكتروني المسجل. وقد يتيح WooCommerce أو النظام المستخدم تنزيل المنتج من حساب العميل أو صفحة الطلب كذلك.</w:t>
      </w:r>
    </w:p>
    <w:p>
      <w:pPr>
        <w:jc w:val="right"/>
        <w:bidi w:val="1"/>
      </w:pPr>
      <w:r>
        <w:rPr>
          <w:rFonts w:ascii="Noto Sans Arabic" w:hAnsi="Noto Sans Arabic" w:cs="Noto Sans Arabic" w:eastAsia="Noto Sans Arabic"/>
          <w:color w:val="263238"/>
          <w:sz w:val="22"/>
        </w:rPr>
        <w:t>يعد المنتج متاحًا للعميل عند إرسال رابط التحميل أو الملف إلى بريده الإلكتروني أو إتاحته له في حسابه/صفحة طلبه بحسب الأداة المستخدمة. ويتعين على العميل التأكد من صحة البريد الإلكتروني ومراجعة مجلد الرسائل غير المرغوب فيها والتواصل مع الدعم إذا لم تصله الرسالة.</w:t>
      </w:r>
    </w:p>
    <w:p>
      <w:pPr>
        <w:pStyle w:val="Heading1"/>
        <w:jc w:val="right"/>
        <w:bidi w:val="1"/>
        <w:keepNext/>
      </w:pPr>
      <w:r>
        <w:rPr>
          <w:rFonts w:ascii="Noto Kufi Arabic" w:hAnsi="Noto Kufi Arabic" w:cs="Noto Kufi Arabic" w:eastAsia="Noto Kufi Arabic"/>
          <w:b/>
          <w:color w:val="263238"/>
          <w:sz w:val="32"/>
        </w:rPr>
        <w:t>7. الحقوق النظامية والمنتجات الرقمية</w:t>
      </w:r>
    </w:p>
    <w:p>
      <w:pPr>
        <w:jc w:val="right"/>
        <w:bidi w:val="1"/>
      </w:pPr>
      <w:r>
        <w:rPr>
          <w:rFonts w:ascii="Noto Sans Arabic" w:hAnsi="Noto Sans Arabic" w:cs="Noto Sans Arabic" w:eastAsia="Noto Sans Arabic"/>
          <w:color w:val="263238"/>
          <w:sz w:val="22"/>
        </w:rPr>
        <w:t>تطبق الحقوق المقررة للمستهلك في نظام التجارة الإلكترونية والأنظمة ذات الصلة. ويُراعى أن حق فسخ العقد خلال سبعة أيام يخضع لشروط واستثناءات نظامية، ومن الاستثناءات المنصوص عليها - بحسب طبيعة المنتج - شراء الصحف أو المجلات أو المنشورات أو الكتب، وبعض منتجات تحميل البرامج عبر الإنترنت، مع بقاء الاستثناءات والحقوق المرتبطة بالعيب أو عدم المطابقة وفق النص النظامي.</w:t>
      </w:r>
    </w:p>
    <w:p>
      <w:pPr>
        <w:jc w:val="right"/>
        <w:bidi w:val="1"/>
      </w:pPr>
      <w:r>
        <w:rPr>
          <w:rFonts w:ascii="Noto Sans Arabic" w:hAnsi="Noto Sans Arabic" w:cs="Noto Sans Arabic" w:eastAsia="Noto Sans Arabic"/>
          <w:color w:val="263238"/>
          <w:sz w:val="22"/>
        </w:rPr>
        <w:t>لا تُفسر هذه السياسة على أنها تسقط حقًا إلزاميًا للمستهلك. وفي المقابل، يقدم مالك الموقع «الضمان الذهبي» المبين أدناه كضمان اتفاقي إضافي للمنتجات الرقمية المؤهلة وفق هذه السياسة.</w:t>
      </w:r>
    </w:p>
    <w:p>
      <w:pPr>
        <w:pStyle w:val="Heading1"/>
        <w:jc w:val="right"/>
        <w:bidi w:val="1"/>
        <w:keepNext/>
      </w:pPr>
      <w:r>
        <w:rPr>
          <w:rFonts w:ascii="Noto Kufi Arabic" w:hAnsi="Noto Kufi Arabic" w:cs="Noto Kufi Arabic" w:eastAsia="Noto Kufi Arabic"/>
          <w:b/>
          <w:color w:val="263238"/>
          <w:sz w:val="32"/>
        </w:rPr>
        <w:t>8. الضمان الذهبي للمنتجات الرقمية</w:t>
      </w:r>
    </w:p>
    <w:p>
      <w:pPr>
        <w:jc w:val="right"/>
        <w:bidi w:val="1"/>
      </w:pPr>
      <w:r>
        <w:rPr>
          <w:rFonts w:ascii="Noto Sans Arabic" w:hAnsi="Noto Sans Arabic" w:cs="Noto Sans Arabic" w:eastAsia="Noto Sans Arabic"/>
          <w:color w:val="263238"/>
          <w:sz w:val="22"/>
        </w:rPr>
        <w:t>يمنح مالك الموقع العميل مهلة ضمان ذهبي مدتها عشرة (10) أيام تقويمية من تاريخ تسليم المنتج الرقمي على البريد الإلكتروني أو إتاحته للعميل بصورة يمكنه الوصول إليها. يهدف الضمان إلى الاستماع لصوت العميل غير الراضي، فهم سبب عدم تحقيق القيمة المتوقعة، ومعالجة الخلل أو سوء الفهم متى أمكن.</w:t>
      </w:r>
    </w:p>
    <w:p>
      <w:pPr>
        <w:jc w:val="right"/>
        <w:bidi w:val="1"/>
      </w:pPr>
      <w:r>
        <w:rPr>
          <w:rFonts w:ascii="Noto Sans Arabic" w:hAnsi="Noto Sans Arabic" w:cs="Noto Sans Arabic" w:eastAsia="Noto Sans Arabic"/>
          <w:color w:val="263238"/>
          <w:sz w:val="22"/>
        </w:rPr>
        <w:t>للاستفادة من الضمان الذهبي، يجب رفع طلب الاسترداد خلال مدة العشرة أيام من خلال النموذج المخصص:</w:t>
      </w:r>
    </w:p>
    <w:p>
      <w:pPr>
        <w:jc w:val="right"/>
        <w:bidi w:val="1"/>
      </w:pPr>
      <w:r>
        <w:rPr>
          <w:rFonts w:ascii="Noto Sans Arabic" w:hAnsi="Noto Sans Arabic" w:cs="Noto Sans Arabic" w:eastAsia="Noto Sans Arabic"/>
          <w:b/>
          <w:color w:val="263238"/>
          <w:sz w:val="22"/>
        </w:rPr>
        <w:t xml:space="preserve">نموذج طلب الاسترداد: </w:t>
      </w:r>
      <w:hyperlink r:id="rId11">
        <w:r>
          <w:rPr>
            <w:rFonts w:ascii="Noto Sans Arabic" w:hAnsi="Noto Sans Arabic" w:cs="Noto Sans Arabic" w:eastAsia="Noto Sans Arabic"/>
            <w:color w:val="1A5FB4"/>
            <w:u w:val="single"/>
            <w:sz w:val="22"/>
            <w:szCs w:val="22"/>
          </w:rPr>
          <w:t>IbraheemHabib.sa/refunding</w:t>
        </w:r>
      </w:hyperlink>
    </w:p>
    <w:p>
      <w:pPr>
        <w:jc w:val="right"/>
        <w:bidi w:val="1"/>
      </w:pPr>
      <w:r>
        <w:rPr>
          <w:rFonts w:ascii="Noto Sans Arabic" w:hAnsi="Noto Sans Arabic" w:cs="Noto Sans Arabic" w:eastAsia="Noto Sans Arabic"/>
          <w:color w:val="263238"/>
          <w:sz w:val="22"/>
        </w:rPr>
        <w:t>العبرة بتاريخ ووقت استلام النموذج في النظام. فإذا تم رفع الطلب داخل المهلة، يبقى الطلب مؤهلًا للمراجعة حتى لو تم الرد عليه أو تحديد موعد الاجتماع بعد انتهاء الأيام العشرة. وإذا رُفع الطلب بعد انتهاء المهلة، فلا ينشأ حق بالاسترداد بموجب «الضمان الذهبي»، دون أن يمنع ذلك العميل من طلب الدعم أو ممارسة أي حق إلزامي مقرر له نظامًا.</w:t>
      </w:r>
    </w:p>
    <w:p>
      <w:pPr>
        <w:pStyle w:val="Heading1"/>
        <w:jc w:val="right"/>
        <w:bidi w:val="1"/>
        <w:keepNext/>
      </w:pPr>
      <w:r>
        <w:rPr>
          <w:rFonts w:ascii="Noto Kufi Arabic" w:hAnsi="Noto Kufi Arabic" w:cs="Noto Kufi Arabic" w:eastAsia="Noto Kufi Arabic"/>
          <w:b/>
          <w:color w:val="263238"/>
          <w:sz w:val="32"/>
        </w:rPr>
        <w:t>9. آلية معالجة طلب الضمان الذهبي</w:t>
      </w:r>
    </w:p>
    <w:p>
      <w:pPr>
        <w:jc w:val="right"/>
        <w:bidi w:val="1"/>
      </w:pPr>
      <w:r>
        <w:rPr>
          <w:rFonts w:ascii="Noto Sans Arabic" w:hAnsi="Noto Sans Arabic" w:cs="Noto Sans Arabic" w:eastAsia="Noto Sans Arabic"/>
          <w:color w:val="263238"/>
          <w:sz w:val="22"/>
        </w:rPr>
        <w:t>بعد استلام طلب مؤهل، يتم التواصل مع العميل لفهم المشكلة وقد يتم تحديد اجتماع عن بُعد عند الحاجة. الغرض من الاجتماع هو التحقق من طبيعة الإشكال، إزالة سوء الفهم إن وجد، والحصول على ملاحظات يمكن الاستفادة منها في التحسين.</w:t>
      </w:r>
    </w:p>
    <w:p>
      <w:pPr>
        <w:jc w:val="right"/>
        <w:bidi w:val="1"/>
      </w:pPr>
      <w:r>
        <w:rPr>
          <w:rFonts w:ascii="Noto Sans Arabic" w:hAnsi="Noto Sans Arabic" w:cs="Noto Sans Arabic" w:eastAsia="Noto Sans Arabic"/>
          <w:color w:val="263238"/>
          <w:sz w:val="22"/>
        </w:rPr>
        <w:t>قد تنتهي المراجعة - بحسب طبيعة الحالة وبالاتفاق مع العميل - إلى أحد الحلول الآتية:</w:t>
      </w:r>
    </w:p>
    <w:p>
      <w:pPr>
        <w:spacing w:after="60"/>
        <w:ind w:left="0" w:right="288" w:hanging="173"/>
        <w:jc w:val="right"/>
        <w:bidi w:val="1"/>
      </w:pPr>
      <w:r>
        <w:rPr>
          <w:rFonts w:ascii="Noto Sans Arabic" w:hAnsi="Noto Sans Arabic" w:cs="Noto Sans Arabic" w:eastAsia="Noto Sans Arabic"/>
          <w:color w:val="263238"/>
          <w:sz w:val="22"/>
        </w:rPr>
        <w:t>• توضيح طريقة الاستخدام أو تقديم دعم إضافي.</w:t>
      </w:r>
    </w:p>
    <w:p>
      <w:pPr>
        <w:spacing w:after="60"/>
        <w:ind w:left="0" w:right="288" w:hanging="173"/>
        <w:jc w:val="right"/>
        <w:bidi w:val="1"/>
      </w:pPr>
      <w:r>
        <w:rPr>
          <w:rFonts w:ascii="Noto Sans Arabic" w:hAnsi="Noto Sans Arabic" w:cs="Noto Sans Arabic" w:eastAsia="Noto Sans Arabic"/>
          <w:color w:val="263238"/>
          <w:sz w:val="22"/>
        </w:rPr>
        <w:t>• تصحيح عيب أو إرسال نسخة بديلة سليمة.</w:t>
      </w:r>
    </w:p>
    <w:p>
      <w:pPr>
        <w:spacing w:after="60"/>
        <w:ind w:left="0" w:right="288" w:hanging="173"/>
        <w:jc w:val="right"/>
        <w:bidi w:val="1"/>
      </w:pPr>
      <w:r>
        <w:rPr>
          <w:rFonts w:ascii="Noto Sans Arabic" w:hAnsi="Noto Sans Arabic" w:cs="Noto Sans Arabic" w:eastAsia="Noto Sans Arabic"/>
          <w:color w:val="263238"/>
          <w:sz w:val="22"/>
        </w:rPr>
        <w:t>• تقديم حل أو بديل مناسب متى كان متاحًا.</w:t>
      </w:r>
    </w:p>
    <w:p>
      <w:pPr>
        <w:spacing w:after="60"/>
        <w:ind w:left="0" w:right="288" w:hanging="173"/>
        <w:jc w:val="right"/>
        <w:bidi w:val="1"/>
      </w:pPr>
      <w:r>
        <w:rPr>
          <w:rFonts w:ascii="Noto Sans Arabic" w:hAnsi="Noto Sans Arabic" w:cs="Noto Sans Arabic" w:eastAsia="Noto Sans Arabic"/>
          <w:color w:val="263238"/>
          <w:sz w:val="22"/>
        </w:rPr>
        <w:t>• استرداد جزئي أو كامل للمبلغ إذا كان ذلك هو الحل الأنسب بعد مراجعة الحالة.</w:t>
      </w:r>
    </w:p>
    <w:p>
      <w:pPr>
        <w:spacing w:after="60"/>
        <w:ind w:left="0" w:right="288" w:hanging="173"/>
        <w:jc w:val="right"/>
        <w:bidi w:val="1"/>
      </w:pPr>
      <w:r>
        <w:rPr>
          <w:rFonts w:ascii="Noto Sans Arabic" w:hAnsi="Noto Sans Arabic" w:cs="Noto Sans Arabic" w:eastAsia="Noto Sans Arabic"/>
          <w:color w:val="263238"/>
          <w:sz w:val="22"/>
        </w:rPr>
        <w:t>• حل آخر يتفق عليه الطرفان ولا يتعارض مع الأنظمة.</w:t>
      </w:r>
    </w:p>
    <w:p>
      <w:pPr>
        <w:jc w:val="right"/>
        <w:bidi w:val="1"/>
      </w:pPr>
      <w:r>
        <w:rPr>
          <w:rFonts w:ascii="Noto Sans Arabic" w:hAnsi="Noto Sans Arabic" w:cs="Noto Sans Arabic" w:eastAsia="Noto Sans Arabic"/>
          <w:color w:val="263238"/>
          <w:sz w:val="22"/>
        </w:rPr>
        <w:t>الضمان الذهبي ليس وعدًا باسترداد تلقائي لمجرد عدم الإعجاب، بل آلية اتفاقية عادلة لمراجعة الحالة ومحاولة معالجة سبب عدم تحقق القيمة. ومع ذلك، لا يؤثر هذا الشرط في أي حق إلزامي ناشئ عن عيب أو عدم مطابقة أو إخلال يقرره النظام.</w:t>
      </w:r>
    </w:p>
    <w:p>
      <w:pPr>
        <w:jc w:val="right"/>
        <w:bidi w:val="1"/>
      </w:pPr>
      <w:r>
        <w:rPr>
          <w:rFonts w:ascii="Noto Sans Arabic" w:hAnsi="Noto Sans Arabic" w:cs="Noto Sans Arabic" w:eastAsia="Noto Sans Arabic"/>
          <w:color w:val="263238"/>
          <w:sz w:val="22"/>
        </w:rPr>
        <w:t>عند النظر في مقترحات التحسين، يقدّر مالك الموقع مدى مواءمتها مع استراتيجية الموقع وطبيعة المحتوى وقيمه وهويته العربية والإسلامية، دون التزام بتنفيذ كل مقترح مقابل الاسترداد أو الدعم.</w:t>
      </w:r>
    </w:p>
    <w:p>
      <w:pPr>
        <w:pStyle w:val="Heading1"/>
        <w:jc w:val="right"/>
        <w:bidi w:val="1"/>
        <w:keepNext/>
      </w:pPr>
      <w:r>
        <w:rPr>
          <w:rFonts w:ascii="Noto Kufi Arabic" w:hAnsi="Noto Kufi Arabic" w:cs="Noto Kufi Arabic" w:eastAsia="Noto Kufi Arabic"/>
          <w:b/>
          <w:color w:val="263238"/>
          <w:sz w:val="32"/>
        </w:rPr>
        <w:t>10. حالات الدعم الفني</w:t>
      </w:r>
    </w:p>
    <w:p>
      <w:pPr>
        <w:jc w:val="right"/>
        <w:bidi w:val="1"/>
      </w:pPr>
      <w:r>
        <w:rPr>
          <w:rFonts w:ascii="Noto Sans Arabic" w:hAnsi="Noto Sans Arabic" w:cs="Noto Sans Arabic" w:eastAsia="Noto Sans Arabic"/>
          <w:color w:val="263238"/>
          <w:sz w:val="22"/>
        </w:rPr>
        <w:t>إذا كان المنتج تالفًا أو تعذر فتحه أو تنزيله بسبب خلل من الملف أو النظام، يُطلب من العميل التواصل مع الدعم بأسرع وقت ممكن. يبذل مالك الموقع عناية معقولة لإصلاح الخلل أو إعادة إرسال نسخة سليمة أو توفير وسيلة بديلة للوصول، دون الإخلال بالحقوق النظامية إذا تعذر ذلك.</w:t>
      </w:r>
    </w:p>
    <w:p>
      <w:pPr>
        <w:pStyle w:val="Heading1"/>
        <w:jc w:val="right"/>
        <w:bidi w:val="1"/>
        <w:keepNext/>
      </w:pPr>
      <w:r>
        <w:rPr>
          <w:rFonts w:ascii="Noto Kufi Arabic" w:hAnsi="Noto Kufi Arabic" w:cs="Noto Kufi Arabic" w:eastAsia="Noto Kufi Arabic"/>
          <w:b/>
          <w:color w:val="263238"/>
          <w:sz w:val="32"/>
        </w:rPr>
        <w:t>11. الجلسات التعريفية المجانية</w:t>
      </w:r>
    </w:p>
    <w:p>
      <w:pPr>
        <w:jc w:val="right"/>
        <w:bidi w:val="1"/>
      </w:pPr>
      <w:r>
        <w:rPr>
          <w:rFonts w:ascii="Noto Sans Arabic" w:hAnsi="Noto Sans Arabic" w:cs="Noto Sans Arabic" w:eastAsia="Noto Sans Arabic"/>
          <w:color w:val="263238"/>
          <w:sz w:val="22"/>
        </w:rPr>
        <w:t>الجلسة التعريفية الأولية مجانية وهدفها فهم الاحتياج وبحث فرص التعاون. لا يترتب على إلغائها أو إعادة جدولتها استرداد مالي، ويُرجى إشعار مالك الموقع مبكرًا احترامًا للوقت وإتاحة الموعد لغيره.</w:t>
      </w:r>
    </w:p>
    <w:p>
      <w:pPr>
        <w:pStyle w:val="Heading1"/>
        <w:jc w:val="right"/>
        <w:bidi w:val="1"/>
        <w:keepNext/>
      </w:pPr>
      <w:r>
        <w:rPr>
          <w:rFonts w:ascii="Noto Kufi Arabic" w:hAnsi="Noto Kufi Arabic" w:cs="Noto Kufi Arabic" w:eastAsia="Noto Kufi Arabic"/>
          <w:b/>
          <w:color w:val="263238"/>
          <w:sz w:val="32"/>
        </w:rPr>
        <w:t>12. الجلسات المدفوعة: الإلغاء والاسترداد</w:t>
      </w:r>
    </w:p>
    <w:p>
      <w:pPr>
        <w:jc w:val="right"/>
        <w:bidi w:val="1"/>
      </w:pPr>
      <w:r>
        <w:rPr>
          <w:rFonts w:ascii="Noto Sans Arabic" w:hAnsi="Noto Sans Arabic" w:cs="Noto Sans Arabic" w:eastAsia="Noto Sans Arabic"/>
          <w:color w:val="263238"/>
          <w:sz w:val="22"/>
        </w:rPr>
        <w:t>إذا تم الاتفاق على جلسة فردية مدفوعة ولم يتضمن عقد أو عرض خاص شروطًا مختلفة، تطبق النسب التالية بحسب وقت استلام طلب الإلغاء مقارنة بموعد الجلسة القائم وقت الإلغاء:</w:t>
      </w:r>
    </w:p>
    <w:tbl>
      <w:tblPr>
        <w:tblW w:type="auto" w:w="0"/>
        <w:jc w:val="right"/>
        <w:tblLayout w:type="fixed"/>
        <w:tblLook w:firstColumn="1" w:firstRow="1" w:lastColumn="0" w:lastRow="0" w:noHBand="0" w:noVBand="1" w:val="04A0"/>
        <w:tblBorders>
          <w:top w:val="single" w:sz="6" w:space="0" w:color="D7D7D7"/>
          <w:left w:val="single" w:sz="6" w:space="0" w:color="D7D7D7"/>
          <w:bottom w:val="single" w:sz="6" w:space="0" w:color="D7D7D7"/>
          <w:right w:val="single" w:sz="6" w:space="0" w:color="D7D7D7"/>
          <w:insideH w:val="single" w:sz="6" w:space="0" w:color="D7D7D7"/>
          <w:insideV w:val="single" w:sz="6" w:space="0" w:color="D7D7D7"/>
        </w:tblBorders>
      </w:tblPr>
      <w:tblGrid>
        <w:gridCol w:w="4997"/>
        <w:gridCol w:w="4997"/>
      </w:tblGrid>
      <w:tr>
        <w:trPr>
          <w:tblHeader w:val="true"/>
          <w:cantSplit w:val="true"/>
        </w:trPr>
        <w:tc>
          <w:tcPr>
            <w:tcW w:type="dxa" w:w="4680"/>
            <w:shd w:fill="263238"/>
            <w:tcMar>
              <w:top w:w="120" w:type="dxa"/>
              <w:start w:w="140" w:type="dxa"/>
              <w:bottom w:w="120" w:type="dxa"/>
              <w:end w:w="140" w:type="dxa"/>
            </w:tcMar>
          </w:tcPr>
          <w:p>
            <w:pPr>
              <w:jc w:val="center"/>
              <w:bidi w:val="1"/>
            </w:pPr>
            <w:r>
              <w:rPr>
                <w:rFonts w:ascii="Noto Sans Arabic" w:hAnsi="Noto Sans Arabic" w:cs="Noto Sans Arabic" w:eastAsia="Noto Sans Arabic"/>
                <w:b/>
                <w:color w:val="FFFFFF"/>
                <w:sz w:val="20"/>
              </w:rPr>
              <w:t>الاسترداد</w:t>
            </w:r>
          </w:p>
        </w:tc>
        <w:tc>
          <w:tcPr>
            <w:tcW w:type="dxa" w:w="4680"/>
            <w:shd w:fill="263238"/>
            <w:tcMar>
              <w:top w:w="120" w:type="dxa"/>
              <w:start w:w="140" w:type="dxa"/>
              <w:bottom w:w="120" w:type="dxa"/>
              <w:end w:w="140" w:type="dxa"/>
            </w:tcMar>
          </w:tcPr>
          <w:p>
            <w:pPr>
              <w:jc w:val="center"/>
              <w:bidi w:val="1"/>
            </w:pPr>
            <w:r>
              <w:rPr>
                <w:rFonts w:ascii="Noto Sans Arabic" w:hAnsi="Noto Sans Arabic" w:cs="Noto Sans Arabic" w:eastAsia="Noto Sans Arabic"/>
                <w:b/>
                <w:color w:val="FFFFFF"/>
                <w:sz w:val="20"/>
              </w:rPr>
              <w:t>الإشعار قبل الموعد</w:t>
            </w:r>
          </w:p>
        </w:tc>
      </w:tr>
      <w:tr>
        <w:trPr>
          <w:cantSplit w:val="true"/>
        </w:trPr>
        <w:tc>
          <w:tcPr>
            <w:tcW w:type="dxa" w:w="4997"/>
            <w:tcMar>
              <w:top w:w="120" w:type="dxa"/>
              <w:start w:w="140" w:type="dxa"/>
              <w:bottom w:w="120" w:type="dxa"/>
              <w:end w:w="140" w:type="dxa"/>
            </w:tcMar>
          </w:tcPr>
          <w:p>
            <w:pPr>
              <w:jc w:val="center"/>
              <w:bidi w:val="1"/>
            </w:pPr>
            <w:r>
              <w:rPr>
                <w:rFonts w:ascii="Noto Sans Arabic" w:hAnsi="Noto Sans Arabic" w:cs="Noto Sans Arabic" w:eastAsia="Noto Sans Arabic"/>
                <w:color w:val="263238"/>
                <w:sz w:val="20"/>
              </w:rPr>
              <w:t>استرداد كامل 100٪</w:t>
            </w:r>
          </w:p>
        </w:tc>
        <w:tc>
          <w:tcPr>
            <w:tcW w:type="dxa" w:w="4997"/>
            <w:tcMar>
              <w:top w:w="120" w:type="dxa"/>
              <w:start w:w="140" w:type="dxa"/>
              <w:bottom w:w="120" w:type="dxa"/>
              <w:end w:w="140" w:type="dxa"/>
            </w:tcMar>
          </w:tcPr>
          <w:p>
            <w:pPr>
              <w:jc w:val="center"/>
              <w:bidi w:val="1"/>
            </w:pPr>
            <w:r>
              <w:rPr>
                <w:rFonts w:ascii="Noto Sans Arabic" w:hAnsi="Noto Sans Arabic" w:cs="Noto Sans Arabic" w:eastAsia="Noto Sans Arabic"/>
                <w:color w:val="263238"/>
                <w:sz w:val="20"/>
              </w:rPr>
              <w:t>أكثر من 48 ساعة</w:t>
            </w:r>
          </w:p>
        </w:tc>
      </w:tr>
      <w:tr>
        <w:trPr>
          <w:cantSplit w:val="true"/>
        </w:trPr>
        <w:tc>
          <w:tcPr>
            <w:tcW w:type="dxa" w:w="4997"/>
            <w:tcMar>
              <w:top w:w="120" w:type="dxa"/>
              <w:start w:w="140" w:type="dxa"/>
              <w:bottom w:w="120" w:type="dxa"/>
              <w:end w:w="140" w:type="dxa"/>
            </w:tcMar>
          </w:tcPr>
          <w:p>
            <w:pPr>
              <w:jc w:val="center"/>
              <w:bidi w:val="1"/>
            </w:pPr>
            <w:r>
              <w:rPr>
                <w:rFonts w:ascii="Noto Sans Arabic" w:hAnsi="Noto Sans Arabic" w:cs="Noto Sans Arabic" w:eastAsia="Noto Sans Arabic"/>
                <w:color w:val="263238"/>
                <w:sz w:val="20"/>
              </w:rPr>
              <w:t>استرداد 50٪</w:t>
            </w:r>
          </w:p>
        </w:tc>
        <w:tc>
          <w:tcPr>
            <w:tcW w:type="dxa" w:w="4997"/>
            <w:tcMar>
              <w:top w:w="120" w:type="dxa"/>
              <w:start w:w="140" w:type="dxa"/>
              <w:bottom w:w="120" w:type="dxa"/>
              <w:end w:w="140" w:type="dxa"/>
            </w:tcMar>
          </w:tcPr>
          <w:p>
            <w:pPr>
              <w:jc w:val="center"/>
              <w:bidi w:val="1"/>
            </w:pPr>
            <w:r>
              <w:rPr>
                <w:rFonts w:ascii="Noto Sans Arabic" w:hAnsi="Noto Sans Arabic" w:cs="Noto Sans Arabic" w:eastAsia="Noto Sans Arabic"/>
                <w:color w:val="263238"/>
                <w:sz w:val="20"/>
              </w:rPr>
              <w:t>من 24 إلى 48 ساعة</w:t>
            </w:r>
          </w:p>
        </w:tc>
      </w:tr>
      <w:tr>
        <w:trPr>
          <w:cantSplit w:val="true"/>
        </w:trPr>
        <w:tc>
          <w:tcPr>
            <w:tcW w:type="dxa" w:w="4997"/>
            <w:tcMar>
              <w:top w:w="120" w:type="dxa"/>
              <w:start w:w="140" w:type="dxa"/>
              <w:bottom w:w="120" w:type="dxa"/>
              <w:end w:w="140" w:type="dxa"/>
            </w:tcMar>
          </w:tcPr>
          <w:p>
            <w:pPr>
              <w:jc w:val="center"/>
              <w:bidi w:val="1"/>
            </w:pPr>
            <w:r>
              <w:rPr>
                <w:rFonts w:ascii="Noto Sans Arabic" w:hAnsi="Noto Sans Arabic" w:cs="Noto Sans Arabic" w:eastAsia="Noto Sans Arabic"/>
                <w:color w:val="263238"/>
                <w:sz w:val="20"/>
              </w:rPr>
              <w:t>استرداد 25٪</w:t>
            </w:r>
          </w:p>
        </w:tc>
        <w:tc>
          <w:tcPr>
            <w:tcW w:type="dxa" w:w="4997"/>
            <w:tcMar>
              <w:top w:w="120" w:type="dxa"/>
              <w:start w:w="140" w:type="dxa"/>
              <w:bottom w:w="120" w:type="dxa"/>
              <w:end w:w="140" w:type="dxa"/>
            </w:tcMar>
          </w:tcPr>
          <w:p>
            <w:pPr>
              <w:jc w:val="center"/>
              <w:bidi w:val="1"/>
            </w:pPr>
            <w:r>
              <w:rPr>
                <w:rFonts w:ascii="Noto Sans Arabic" w:hAnsi="Noto Sans Arabic" w:cs="Noto Sans Arabic" w:eastAsia="Noto Sans Arabic"/>
                <w:color w:val="263238"/>
                <w:sz w:val="20"/>
              </w:rPr>
              <w:t>من 12 إلى أقل من 24 ساعة</w:t>
            </w:r>
          </w:p>
        </w:tc>
      </w:tr>
      <w:tr>
        <w:trPr>
          <w:cantSplit w:val="true"/>
        </w:trPr>
        <w:tc>
          <w:tcPr>
            <w:tcW w:type="dxa" w:w="4997"/>
            <w:tcMar>
              <w:top w:w="120" w:type="dxa"/>
              <w:start w:w="140" w:type="dxa"/>
              <w:bottom w:w="120" w:type="dxa"/>
              <w:end w:w="140" w:type="dxa"/>
            </w:tcMar>
          </w:tcPr>
          <w:p>
            <w:pPr>
              <w:jc w:val="center"/>
              <w:bidi w:val="1"/>
            </w:pPr>
            <w:r>
              <w:rPr>
                <w:rFonts w:ascii="Noto Sans Arabic" w:hAnsi="Noto Sans Arabic" w:cs="Noto Sans Arabic" w:eastAsia="Noto Sans Arabic"/>
                <w:color w:val="263238"/>
                <w:sz w:val="20"/>
              </w:rPr>
              <w:t>لا يوجد استرداد بموجب سياسة الإلغاء</w:t>
            </w:r>
          </w:p>
        </w:tc>
        <w:tc>
          <w:tcPr>
            <w:tcW w:type="dxa" w:w="4997"/>
            <w:tcMar>
              <w:top w:w="120" w:type="dxa"/>
              <w:start w:w="140" w:type="dxa"/>
              <w:bottom w:w="120" w:type="dxa"/>
              <w:end w:w="140" w:type="dxa"/>
            </w:tcMar>
          </w:tcPr>
          <w:p>
            <w:pPr>
              <w:jc w:val="center"/>
              <w:bidi w:val="1"/>
            </w:pPr>
            <w:r>
              <w:rPr>
                <w:rFonts w:ascii="Noto Sans Arabic" w:hAnsi="Noto Sans Arabic" w:cs="Noto Sans Arabic" w:eastAsia="Noto Sans Arabic"/>
                <w:color w:val="263238"/>
                <w:sz w:val="20"/>
              </w:rPr>
              <w:t>أقل من 12 ساعة أو عدم الحضور</w:t>
            </w:r>
          </w:p>
        </w:tc>
      </w:tr>
    </w:tbl>
    <w:p>
      <w:pPr>
        <w:jc w:val="right"/>
        <w:bidi w:val="1"/>
      </w:pPr>
      <w:r>
        <w:rPr>
          <w:rFonts w:ascii="Noto Sans Arabic" w:hAnsi="Noto Sans Arabic" w:cs="Noto Sans Arabic" w:eastAsia="Noto Sans Arabic"/>
          <w:color w:val="263238"/>
          <w:sz w:val="22"/>
        </w:rPr>
        <w:t>تطبق النسب على المبلغ المدفوع لقاء الجلسة المعنية، ما لم ينص اتفاق مستقل على غير ذلك. وإذا كان الإلغاء بسبب حق نظامي إلزامي أو إخلال من مالك الموقع، فيُعمل بالحكم النظامي أو الاتفاق الأكثر حماية للعميل بحسب الحالة.</w:t>
      </w:r>
    </w:p>
    <w:p>
      <w:pPr>
        <w:pStyle w:val="Heading1"/>
        <w:jc w:val="right"/>
        <w:bidi w:val="1"/>
        <w:keepNext/>
      </w:pPr>
      <w:r>
        <w:rPr>
          <w:rFonts w:ascii="Noto Kufi Arabic" w:hAnsi="Noto Kufi Arabic" w:cs="Noto Kufi Arabic" w:eastAsia="Noto Kufi Arabic"/>
          <w:b/>
          <w:color w:val="263238"/>
          <w:sz w:val="32"/>
        </w:rPr>
        <w:t>13. إعادة جدولة الجلسات</w:t>
      </w:r>
    </w:p>
    <w:p>
      <w:pPr>
        <w:jc w:val="right"/>
        <w:bidi w:val="1"/>
      </w:pPr>
      <w:r>
        <w:rPr>
          <w:rFonts w:ascii="Noto Sans Arabic" w:hAnsi="Noto Sans Arabic" w:cs="Noto Sans Arabic" w:eastAsia="Noto Sans Arabic"/>
          <w:color w:val="263238"/>
          <w:sz w:val="22"/>
        </w:rPr>
        <w:t>يجوز إعادة جدولة الجلسة المدفوعة مجانًا لمرة واحدة إذا وصل الطلب قبل أكثر من 24 ساعة من الموعد، بشرط تقديم مبرر مختصر ومعقول لإعادة الجدولة. لا يلزم العميل بكشف معلومات حساسة أو تفاصيل شخصية لا يحتاجها التحقق من الطلب.</w:t>
      </w:r>
    </w:p>
    <w:p>
      <w:pPr>
        <w:jc w:val="right"/>
        <w:bidi w:val="1"/>
      </w:pPr>
      <w:r>
        <w:rPr>
          <w:rFonts w:ascii="Noto Sans Arabic" w:hAnsi="Noto Sans Arabic" w:cs="Noto Sans Arabic" w:eastAsia="Noto Sans Arabic"/>
          <w:color w:val="263238"/>
          <w:sz w:val="22"/>
        </w:rPr>
        <w:t>إذا وصل طلب إعادة الجدولة قبل أقل من 24 ساعة، فيخضع للتوافر وظروف الحالة، ويجوز معاملته وفق سياسة الإلغاء أعلاه أو الاتفاق على حل بديل.</w:t>
      </w:r>
    </w:p>
    <w:p>
      <w:pPr>
        <w:jc w:val="right"/>
        <w:bidi w:val="1"/>
      </w:pPr>
      <w:r>
        <w:rPr>
          <w:rFonts w:ascii="Noto Sans Arabic" w:hAnsi="Noto Sans Arabic" w:cs="Noto Sans Arabic" w:eastAsia="Noto Sans Arabic"/>
          <w:color w:val="263238"/>
          <w:sz w:val="22"/>
        </w:rPr>
        <w:t>إذا طلب العميل إعادة جدولة الموعد الذي سبق إعادة جدولته، يجوز فرض رسوم إدارية لإعادة الجدولة في كل مرة إضافية، تُقدر بحسب الحاجة والأثر على حجز الوقت والتحضير، وبحد أقصى 20٪ من سعر الجلسة أو الخدمة المتفق عليه لكل إعادة جدولة إضافية. يتم إبلاغ العميل بالرسوم قبل تأكيد الموعد الجديد.</w:t>
      </w:r>
    </w:p>
    <w:p>
      <w:pPr>
        <w:jc w:val="right"/>
        <w:bidi w:val="1"/>
      </w:pPr>
      <w:r>
        <w:rPr>
          <w:rFonts w:ascii="Noto Sans Arabic" w:hAnsi="Noto Sans Arabic" w:cs="Noto Sans Arabic" w:eastAsia="Noto Sans Arabic"/>
          <w:color w:val="263238"/>
          <w:sz w:val="22"/>
        </w:rPr>
        <w:t>إذا اختار العميل إلغاء الموعد بعد إعادة جدولته، تطبق نسب الإلغاء الواردة في البند السابق على أساس الوقت المتبقي حتى الموعد القائم وقت طلب الإلغاء، ما لم ينص اتفاق خاص على غير ذلك.</w:t>
      </w:r>
    </w:p>
    <w:p>
      <w:pPr>
        <w:pStyle w:val="Heading1"/>
        <w:jc w:val="right"/>
        <w:bidi w:val="1"/>
        <w:keepNext/>
      </w:pPr>
      <w:r>
        <w:rPr>
          <w:rFonts w:ascii="Noto Kufi Arabic" w:hAnsi="Noto Kufi Arabic" w:cs="Noto Kufi Arabic" w:eastAsia="Noto Kufi Arabic"/>
          <w:b/>
          <w:color w:val="263238"/>
          <w:sz w:val="32"/>
        </w:rPr>
        <w:t>14. إلغاء أو تغيير الموعد من جانب مالك الموقع</w:t>
      </w:r>
    </w:p>
    <w:p>
      <w:pPr>
        <w:jc w:val="right"/>
        <w:bidi w:val="1"/>
      </w:pPr>
      <w:r>
        <w:rPr>
          <w:rFonts w:ascii="Noto Sans Arabic" w:hAnsi="Noto Sans Arabic" w:cs="Noto Sans Arabic" w:eastAsia="Noto Sans Arabic"/>
          <w:color w:val="263238"/>
          <w:sz w:val="22"/>
        </w:rPr>
        <w:t>إذا تعذر على مالك الموقع تنفيذ جلسة مدفوعة في موعدها لسبب راجع إليه، يُخيّر العميل بين إعادة الجدولة دون رسوم أو استرداد كامل المبلغ المدفوع عن الجلسة. أما حالات القوة القاهرة أو الأعطال الخارجة عن السيطرة فتُعالج بما يحقق حلًا منصفًا ودون إخلال بالحقوق النظامية.</w:t>
      </w:r>
    </w:p>
    <w:p>
      <w:pPr>
        <w:pStyle w:val="Heading1"/>
        <w:jc w:val="right"/>
        <w:bidi w:val="1"/>
        <w:keepNext/>
      </w:pPr>
      <w:r>
        <w:rPr>
          <w:rFonts w:ascii="Noto Kufi Arabic" w:hAnsi="Noto Kufi Arabic" w:cs="Noto Kufi Arabic" w:eastAsia="Noto Kufi Arabic"/>
          <w:b/>
          <w:color w:val="263238"/>
          <w:sz w:val="32"/>
        </w:rPr>
        <w:t>15. الاستشارات والمشاريع والخدمات المخصصة</w:t>
      </w:r>
    </w:p>
    <w:p>
      <w:pPr>
        <w:jc w:val="right"/>
        <w:bidi w:val="1"/>
      </w:pPr>
      <w:r>
        <w:rPr>
          <w:rFonts w:ascii="Noto Sans Arabic" w:hAnsi="Noto Sans Arabic" w:cs="Noto Sans Arabic" w:eastAsia="Noto Sans Arabic"/>
          <w:color w:val="263238"/>
          <w:sz w:val="22"/>
        </w:rPr>
        <w:t>الأسعار الخاصة بالاستشارات والمشاريع والخدمات المخصصة ليست ثابتة؛ إذ يتم تقديرها بعد الجلسة التعريفية وفق النطاق والجهد والمدة والمخرجات. وتخضع الدفعات والإلغاء والاسترداد فيها للعقد أو العرض أو الاتفاق الخاص بالمشروع. إذا لم يتضمن الاتفاق حكمًا لمسألة معينة، يُرجع إلى هذه السياسة بالقدر الملائم لطبيعة الخدمة.</w:t>
      </w:r>
    </w:p>
    <w:p>
      <w:pPr>
        <w:jc w:val="right"/>
        <w:bidi w:val="1"/>
      </w:pPr>
      <w:r>
        <w:rPr>
          <w:rFonts w:ascii="Noto Sans Arabic" w:hAnsi="Noto Sans Arabic" w:cs="Noto Sans Arabic" w:eastAsia="Noto Sans Arabic"/>
          <w:color w:val="263238"/>
          <w:sz w:val="22"/>
        </w:rPr>
        <w:t>لا يترتب على الجلسة التعريفية التزام مالي أو تعاقدي على أي طرف ما لم يتم الاتفاق صراحة على الاستمرار.</w:t>
      </w:r>
    </w:p>
    <w:p>
      <w:pPr>
        <w:pStyle w:val="Heading1"/>
        <w:jc w:val="right"/>
        <w:bidi w:val="1"/>
        <w:keepNext/>
      </w:pPr>
      <w:r>
        <w:rPr>
          <w:rFonts w:ascii="Noto Kufi Arabic" w:hAnsi="Noto Kufi Arabic" w:cs="Noto Kufi Arabic" w:eastAsia="Noto Kufi Arabic"/>
          <w:b/>
          <w:color w:val="263238"/>
          <w:sz w:val="32"/>
        </w:rPr>
        <w:t>16. التدريب المباشر أو الحضوري عبر جهات معتمدة</w:t>
      </w:r>
    </w:p>
    <w:p>
      <w:pPr>
        <w:jc w:val="right"/>
        <w:bidi w:val="1"/>
      </w:pPr>
      <w:r>
        <w:rPr>
          <w:rFonts w:ascii="Noto Sans Arabic" w:hAnsi="Noto Sans Arabic" w:cs="Noto Sans Arabic" w:eastAsia="Noto Sans Arabic"/>
          <w:color w:val="263238"/>
          <w:sz w:val="22"/>
        </w:rPr>
        <w:t>إذا طلب عميل أو جهة تنفيذ برنامج تدريبي مباشر أو حضوري، فلا يقدم مالك الموقع ذلك بصورة مستقلة باعتباره دورة تدريبية مرخصة، وإنما يتم التنسيق من خلال مركز معتمد أو جهة رسمية وفق عقد واتفاق مستقل. تحدد مسؤولية الدفع والإلغاء والشهادات والالتزامات التنظيمية في ذلك الاتفاق، وقد تكون الجهة المتعاقدة أو المركز هي الطرف المسؤول عن التحصيل أو إصدار الشهادة بحسب الترتيب المعتمد.</w:t>
      </w:r>
    </w:p>
    <w:p>
      <w:pPr>
        <w:pStyle w:val="Heading1"/>
        <w:jc w:val="right"/>
        <w:bidi w:val="1"/>
        <w:keepNext/>
      </w:pPr>
      <w:r>
        <w:rPr>
          <w:rFonts w:ascii="Noto Kufi Arabic" w:hAnsi="Noto Kufi Arabic" w:cs="Noto Kufi Arabic" w:eastAsia="Noto Kufi Arabic"/>
          <w:b/>
          <w:color w:val="263238"/>
          <w:sz w:val="32"/>
        </w:rPr>
        <w:t>17. المنصات الخارجية</w:t>
      </w:r>
    </w:p>
    <w:p>
      <w:pPr>
        <w:jc w:val="right"/>
        <w:bidi w:val="1"/>
      </w:pPr>
      <w:r>
        <w:rPr>
          <w:rFonts w:ascii="Noto Sans Arabic" w:hAnsi="Noto Sans Arabic" w:cs="Noto Sans Arabic" w:eastAsia="Noto Sans Arabic"/>
          <w:color w:val="263238"/>
          <w:sz w:val="22"/>
        </w:rPr>
        <w:t>إذا تم شراء برنامج أو منتج أو خدمة من منصة خارجية مستقلة - مثل Udemy أو Skillshare أو Amazon أو Google أو غيرها - فإن الدفع والاسترداد والمعاملة المالية التي تتم على تلك المنصة تخضع لسياساتها، ما لم يكن مالك الموقع هو البائع المباشر أو ينص الاتفاق على خلاف ذلك.</w:t>
      </w:r>
    </w:p>
    <w:p>
      <w:pPr>
        <w:pStyle w:val="Heading1"/>
        <w:jc w:val="right"/>
        <w:bidi w:val="1"/>
        <w:keepNext/>
      </w:pPr>
      <w:r>
        <w:rPr>
          <w:rFonts w:ascii="Noto Kufi Arabic" w:hAnsi="Noto Kufi Arabic" w:cs="Noto Kufi Arabic" w:eastAsia="Noto Kufi Arabic"/>
          <w:b/>
          <w:color w:val="263238"/>
          <w:sz w:val="32"/>
        </w:rPr>
        <w:t>18. طريقة إعادة المبلغ</w:t>
      </w:r>
    </w:p>
    <w:p>
      <w:pPr>
        <w:jc w:val="right"/>
        <w:bidi w:val="1"/>
      </w:pPr>
      <w:r>
        <w:rPr>
          <w:rFonts w:ascii="Noto Sans Arabic" w:hAnsi="Noto Sans Arabic" w:cs="Noto Sans Arabic" w:eastAsia="Noto Sans Arabic"/>
          <w:color w:val="263238"/>
          <w:sz w:val="22"/>
        </w:rPr>
        <w:t>عند اعتماد استرداد مستحق، يُعاد المبلغ باستخدام وسيلة الدفع الأصلية متى كان ذلك متاحًا ومناسبًا، أو بوسيلة أخرى يتفق عليها الطرفان بصورة صريحة. تبدأ إجراءات الاسترداد دون تأخير غير مبرر، وقد تستغرق البنوك أو بوابات الدفع مدة إضافية لإظهار المبلغ في حساب العميل خارجة عن سيطرة مالك الموقع.</w:t>
      </w:r>
    </w:p>
    <w:p>
      <w:pPr>
        <w:jc w:val="right"/>
        <w:bidi w:val="1"/>
      </w:pPr>
      <w:r>
        <w:rPr>
          <w:rFonts w:ascii="Noto Sans Arabic" w:hAnsi="Noto Sans Arabic" w:cs="Noto Sans Arabic" w:eastAsia="Noto Sans Arabic"/>
          <w:color w:val="263238"/>
          <w:sz w:val="22"/>
        </w:rPr>
        <w:t>لا يتحمل العميل رسومًا إضافية مفروضة من مالك الموقع بسبب استرداد حق نظامي، ويُراعى في جميع الأحوال ما تقرره الأنظمة واللوائح من مدد أو آليات إلزامية.</w:t>
      </w:r>
    </w:p>
    <w:p>
      <w:pPr>
        <w:pStyle w:val="Heading1"/>
        <w:jc w:val="right"/>
        <w:bidi w:val="1"/>
        <w:keepNext/>
      </w:pPr>
      <w:r>
        <w:rPr>
          <w:rFonts w:ascii="Noto Kufi Arabic" w:hAnsi="Noto Kufi Arabic" w:cs="Noto Kufi Arabic" w:eastAsia="Noto Kufi Arabic"/>
          <w:b/>
          <w:color w:val="263238"/>
          <w:sz w:val="32"/>
        </w:rPr>
        <w:t>19. الأخطاء والعمليات المكررة والاحتيال</w:t>
      </w:r>
    </w:p>
    <w:p>
      <w:pPr>
        <w:jc w:val="right"/>
        <w:bidi w:val="1"/>
      </w:pPr>
      <w:r>
        <w:rPr>
          <w:rFonts w:ascii="Noto Sans Arabic" w:hAnsi="Noto Sans Arabic" w:cs="Noto Sans Arabic" w:eastAsia="Noto Sans Arabic"/>
          <w:color w:val="263238"/>
          <w:sz w:val="22"/>
        </w:rPr>
        <w:t>إذا حدث خصم مكرر أو خطأ واضح في المبلغ أو فشل تقني مع إثبات الخصم، يتواصل العميل مع الدعم لإجراء المطابقة واتخاذ الإجراء المناسب. يجوز تعليق تنفيذ طلب مشبوه مؤقتًا إلى حين التحقق من سلامة العملية، دون الإخلال بحقوق العميل أو قواعد مزود الدفع.</w:t>
      </w:r>
    </w:p>
    <w:p>
      <w:pPr>
        <w:pStyle w:val="Heading1"/>
        <w:jc w:val="right"/>
        <w:bidi w:val="1"/>
        <w:keepNext/>
      </w:pPr>
      <w:r>
        <w:rPr>
          <w:rFonts w:ascii="Noto Kufi Arabic" w:hAnsi="Noto Kufi Arabic" w:cs="Noto Kufi Arabic" w:eastAsia="Noto Kufi Arabic"/>
          <w:b/>
          <w:color w:val="263238"/>
          <w:sz w:val="32"/>
        </w:rPr>
        <w:t>20. العلاقة مع السياسات الأخرى</w:t>
      </w:r>
    </w:p>
    <w:p>
      <w:pPr>
        <w:jc w:val="right"/>
        <w:bidi w:val="1"/>
      </w:pPr>
      <w:r>
        <w:rPr>
          <w:rFonts w:ascii="Noto Sans Arabic" w:hAnsi="Noto Sans Arabic" w:cs="Noto Sans Arabic" w:eastAsia="Noto Sans Arabic"/>
          <w:b/>
          <w:color w:val="263238"/>
          <w:sz w:val="22"/>
        </w:rPr>
        <w:t xml:space="preserve">سياسة الخصوصية والاستخدام: </w:t>
      </w:r>
      <w:hyperlink r:id="rId12">
        <w:r>
          <w:rPr>
            <w:rFonts w:ascii="Noto Sans Arabic" w:hAnsi="Noto Sans Arabic" w:cs="Noto Sans Arabic" w:eastAsia="Noto Sans Arabic"/>
            <w:color w:val="1A5FB4"/>
            <w:u w:val="single"/>
            <w:sz w:val="22"/>
            <w:szCs w:val="22"/>
          </w:rPr>
          <w:t>IbraheemHabib.sa/PrivacyPolicy</w:t>
        </w:r>
      </w:hyperlink>
    </w:p>
    <w:p>
      <w:pPr>
        <w:jc w:val="right"/>
        <w:bidi w:val="1"/>
      </w:pPr>
      <w:r>
        <w:rPr>
          <w:rFonts w:ascii="Noto Sans Arabic" w:hAnsi="Noto Sans Arabic" w:cs="Noto Sans Arabic" w:eastAsia="Noto Sans Arabic"/>
          <w:b/>
          <w:color w:val="263238"/>
          <w:sz w:val="22"/>
        </w:rPr>
        <w:t xml:space="preserve">الشروط والأحكام: </w:t>
      </w:r>
      <w:hyperlink r:id="rId13">
        <w:r>
          <w:rPr>
            <w:rFonts w:ascii="Noto Sans Arabic" w:hAnsi="Noto Sans Arabic" w:cs="Noto Sans Arabic" w:eastAsia="Noto Sans Arabic"/>
            <w:color w:val="1A5FB4"/>
            <w:u w:val="single"/>
            <w:sz w:val="22"/>
            <w:szCs w:val="22"/>
          </w:rPr>
          <w:t>IbraheemHabib.sa/TermsAndConditions</w:t>
        </w:r>
      </w:hyperlink>
    </w:p>
    <w:p>
      <w:pPr>
        <w:jc w:val="right"/>
        <w:bidi w:val="1"/>
      </w:pPr>
      <w:r>
        <w:rPr>
          <w:rFonts w:ascii="Noto Sans Arabic" w:hAnsi="Noto Sans Arabic" w:cs="Noto Sans Arabic" w:eastAsia="Noto Sans Arabic"/>
          <w:color w:val="263238"/>
          <w:sz w:val="22"/>
        </w:rPr>
        <w:t>تفسر هذه السياسة مع الوثيقتين أعلاه بصورة متكاملة. وإذا كان لعقد خدمة مخصص حكم خاص بالدفع أو الإلغاء، فيُعمل به في نطاق تلك الخدمة، ما لم يتعارض مع حكم نظامي إلزامي.</w:t>
      </w:r>
    </w:p>
    <w:p>
      <w:pPr>
        <w:pStyle w:val="Heading1"/>
        <w:jc w:val="right"/>
        <w:bidi w:val="1"/>
        <w:keepNext/>
      </w:pPr>
      <w:r>
        <w:rPr>
          <w:rFonts w:ascii="Noto Kufi Arabic" w:hAnsi="Noto Kufi Arabic" w:cs="Noto Kufi Arabic" w:eastAsia="Noto Kufi Arabic"/>
          <w:b/>
          <w:color w:val="263238"/>
          <w:sz w:val="32"/>
        </w:rPr>
        <w:t>21. التعديلات</w:t>
      </w:r>
    </w:p>
    <w:p>
      <w:pPr>
        <w:jc w:val="right"/>
        <w:bidi w:val="1"/>
      </w:pPr>
      <w:r>
        <w:rPr>
          <w:rFonts w:ascii="Noto Sans Arabic" w:hAnsi="Noto Sans Arabic" w:cs="Noto Sans Arabic" w:eastAsia="Noto Sans Arabic"/>
          <w:color w:val="263238"/>
          <w:sz w:val="22"/>
        </w:rPr>
        <w:t>يجوز تحديث هذه السياسة لتغير وسائل الدفع أو المنتجات أو الأنظمة. تُنشر النسخة الجديدة مع تاريخ آخر تحديث. وتظل المعاملة المكتملة خاضعة للسياسة التي كانت سارية عند إتمامها فيما يتعلق بحقوقها الأصلية، ما لم يوجب النظام خلاف ذلك أو تمنح النسخة الجديدة العميل حماية أفضل.</w:t>
      </w:r>
    </w:p>
    <w:p>
      <w:pPr>
        <w:pStyle w:val="Heading1"/>
        <w:jc w:val="right"/>
        <w:bidi w:val="1"/>
        <w:keepNext/>
      </w:pPr>
      <w:r>
        <w:rPr>
          <w:rFonts w:ascii="Noto Kufi Arabic" w:hAnsi="Noto Kufi Arabic" w:cs="Noto Kufi Arabic" w:eastAsia="Noto Kufi Arabic"/>
          <w:b/>
          <w:color w:val="263238"/>
          <w:sz w:val="32"/>
        </w:rPr>
        <w:t>22. القانون واجب التطبيق وتسوية النزاعات</w:t>
      </w:r>
    </w:p>
    <w:p>
      <w:pPr>
        <w:jc w:val="right"/>
        <w:bidi w:val="1"/>
      </w:pPr>
      <w:r>
        <w:rPr>
          <w:rFonts w:ascii="Noto Sans Arabic" w:hAnsi="Noto Sans Arabic" w:cs="Noto Sans Arabic" w:eastAsia="Noto Sans Arabic"/>
          <w:color w:val="263238"/>
          <w:sz w:val="22"/>
        </w:rPr>
        <w:t>تخضع هذه السياسة للأنظمة واللوائح النافذة في المملكة العربية السعودية. تُبذل المساعي أولًا لمعالجة أي خلاف وديًا عبر قنوات التواصل الرسمية، فإن تعذر الحل تختص الجهات القضائية أو الجهات المختصة نظامًا في المملكة بالنظر في النزاع، دون إخلال بأي اختصاص إلزامي.</w:t>
      </w:r>
    </w:p>
    <w:tbl>
      <w:tblPr>
        <w:tblW w:type="auto" w:w="0"/>
        <w:jc w:val="right"/>
        <w:tblLayout w:type="autofit"/>
        <w:tblLook w:firstColumn="1" w:firstRow="1" w:lastColumn="0" w:lastRow="0" w:noHBand="0" w:noVBand="1" w:val="04A0"/>
        <w:tblBorders>
          <w:top w:val="single" w:sz="7" w:space="0" w:color="D8C8B8"/>
          <w:left w:val="single" w:sz="7" w:space="0" w:color="D8C8B8"/>
          <w:bottom w:val="single" w:sz="7" w:space="0" w:color="D8C8B8"/>
          <w:right w:val="single" w:sz="7" w:space="0" w:color="D8C8B8"/>
          <w:insideH w:val="single" w:sz="7" w:space="0" w:color="D8C8B8"/>
          <w:insideV w:val="single" w:sz="7" w:space="0" w:color="D8C8B8"/>
        </w:tblBorders>
      </w:tblPr>
      <w:tblGrid>
        <w:gridCol w:w="9994"/>
      </w:tblGrid>
      <w:tr>
        <w:trPr>
          <w:cantSplit w:val="true"/>
        </w:trPr>
        <w:tc>
          <w:tcPr>
            <w:tcW w:type="dxa" w:w="9994"/>
            <w:shd w:fill="F5F1EB"/>
            <w:tcMar>
              <w:top w:w="160" w:type="dxa"/>
              <w:start w:w="180" w:type="dxa"/>
              <w:bottom w:w="160" w:type="dxa"/>
              <w:end w:w="180" w:type="dxa"/>
            </w:tcMar>
          </w:tcPr>
          <w:p>
            <w:pPr>
              <w:jc w:val="right"/>
              <w:bidi w:val="1"/>
            </w:pPr>
            <w:r>
              <w:rPr>
                <w:rFonts w:ascii="Noto Sans Arabic" w:hAnsi="Noto Sans Arabic" w:cs="Noto Sans Arabic" w:eastAsia="Noto Sans Arabic"/>
                <w:b/>
                <w:color w:val="9A7650"/>
                <w:sz w:val="21"/>
              </w:rPr>
              <w:t xml:space="preserve">أولوية الأنظمة السعودية: </w:t>
            </w:r>
            <w:r>
              <w:rPr>
                <w:rFonts w:ascii="Noto Sans Arabic" w:hAnsi="Noto Sans Arabic" w:cs="Noto Sans Arabic" w:eastAsia="Noto Sans Arabic"/>
                <w:color w:val="263238"/>
                <w:sz w:val="21"/>
              </w:rPr>
              <w:t>إذا تعارض أي حكم في هذه الوثيقة مع نظام أو لائحة أو قرار أو تعليمات ملزمة نافذة في المملكة العربية السعودية، فيُعمل بالنص النظامي الملزم بالقدر الذي يقع فيه التعارض، مع بقاء بقية أحكام الوثيقة نافذة بالقدر الممكن نظامًا.</w:t>
            </w:r>
          </w:p>
        </w:tc>
      </w:tr>
    </w:tbl>
    <w:p>
      <w:pPr>
        <w:spacing w:after="20"/>
      </w:pPr>
    </w:p>
    <w:p>
      <w:pPr>
        <w:pStyle w:val="Heading1"/>
        <w:jc w:val="right"/>
        <w:bidi w:val="1"/>
        <w:keepNext/>
      </w:pPr>
      <w:r>
        <w:rPr>
          <w:rFonts w:ascii="Noto Kufi Arabic" w:hAnsi="Noto Kufi Arabic" w:cs="Noto Kufi Arabic" w:eastAsia="Noto Kufi Arabic"/>
          <w:b/>
          <w:color w:val="263238"/>
          <w:sz w:val="32"/>
        </w:rPr>
        <w:t>التواصل والدعم</w:t>
      </w:r>
    </w:p>
    <w:p>
      <w:pPr>
        <w:jc w:val="right"/>
        <w:bidi w:val="1"/>
      </w:pPr>
      <w:r>
        <w:rPr>
          <w:rFonts w:ascii="Noto Sans Arabic" w:hAnsi="Noto Sans Arabic" w:cs="Noto Sans Arabic" w:eastAsia="Noto Sans Arabic"/>
          <w:color w:val="263238"/>
          <w:sz w:val="22"/>
        </w:rPr>
        <w:t>لطلب الدعم أو تقديم شكوى أو استفسار، أو لممارسة حق متعلق بالبيانات الشخصية بحسب السياسة ذات الصلة، يمكن التواصل عبر القنوات الرسمية الآتية:</w:t>
      </w:r>
    </w:p>
    <w:p>
      <w:pPr>
        <w:jc w:val="right"/>
        <w:bidi w:val="1"/>
      </w:pPr>
      <w:r>
        <w:rPr>
          <w:rFonts w:ascii="Noto Sans Arabic" w:hAnsi="Noto Sans Arabic" w:cs="Noto Sans Arabic" w:eastAsia="Noto Sans Arabic"/>
          <w:b/>
        </w:rPr>
        <w:t xml:space="preserve">البريد الإلكتروني: </w:t>
      </w:r>
      <w:hyperlink r:id="rId14">
        <w:r>
          <w:rPr>
            <w:rFonts w:ascii="Noto Sans Arabic" w:hAnsi="Noto Sans Arabic" w:cs="Noto Sans Arabic" w:eastAsia="Noto Sans Arabic"/>
            <w:color w:val="1A5FB4"/>
            <w:u w:val="single"/>
            <w:sz w:val="22"/>
            <w:szCs w:val="22"/>
          </w:rPr>
          <w:t>Ibraheem@IbraheemHabib.sa</w:t>
        </w:r>
      </w:hyperlink>
    </w:p>
    <w:p>
      <w:pPr>
        <w:jc w:val="right"/>
        <w:bidi w:val="1"/>
      </w:pPr>
      <w:r>
        <w:rPr>
          <w:rFonts w:ascii="Noto Sans Arabic" w:hAnsi="Noto Sans Arabic" w:cs="Noto Sans Arabic" w:eastAsia="Noto Sans Arabic"/>
          <w:b/>
        </w:rPr>
        <w:t xml:space="preserve">الهاتف / واتساب: </w:t>
      </w:r>
      <w:r>
        <w:rPr>
          <w:rFonts w:ascii="Noto Sans Arabic" w:hAnsi="Noto Sans Arabic" w:cs="Noto Sans Arabic" w:eastAsia="Noto Sans Arabic"/>
        </w:rPr>
        <w:t>‎+966 50 130 8087‎</w:t>
      </w:r>
    </w:p>
    <w:p>
      <w:pPr>
        <w:jc w:val="right"/>
        <w:bidi w:val="1"/>
      </w:pPr>
      <w:r>
        <w:rPr>
          <w:rFonts w:ascii="Noto Sans Arabic" w:hAnsi="Noto Sans Arabic" w:cs="Noto Sans Arabic" w:eastAsia="Noto Sans Arabic"/>
          <w:b/>
        </w:rPr>
        <w:t xml:space="preserve">الموقع: </w:t>
      </w:r>
      <w:hyperlink r:id="rId15">
        <w:r>
          <w:rPr>
            <w:rFonts w:ascii="Noto Sans Arabic" w:hAnsi="Noto Sans Arabic" w:cs="Noto Sans Arabic" w:eastAsia="Noto Sans Arabic"/>
            <w:color w:val="1A5FB4"/>
            <w:u w:val="single"/>
            <w:sz w:val="22"/>
            <w:szCs w:val="22"/>
          </w:rPr>
          <w:t>IbraheemHabib.sa</w:t>
        </w:r>
      </w:hyperlink>
    </w:p>
    <w:sectPr w:rsidR="00FC693F" w:rsidRPr="0006063C" w:rsidSect="00034616">
      <w:footerReference w:type="default" r:id="rId9"/>
      <w:pgSz w:w="12240" w:h="15840"/>
      <w:pgMar w:top="1080"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Sans Arabic" w:hAnsi="Noto Sans Arabic" w:cs="Noto Sans Arabic" w:eastAsia="Noto Sans Arabic"/>
        <w:color w:val="5F6368"/>
        <w:sz w:val="18"/>
      </w:rPr>
      <w:t xml:space="preserve">IbraheemHabib.sa  |  صفحة </w:t>
    </w:r>
    <w:r>
      <w:rPr>
        <w:rFonts w:ascii="Noto Sans Arabic" w:hAnsi="Noto Sans Arabic" w:cs="Noto Sans Arabic" w:eastAsia="Noto Sans Arabic"/>
        <w:color w:val="5F6368"/>
        <w:sz w:val="18"/>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24" w:lineRule="auto"/>
    </w:pPr>
    <w:rPr>
      <w:rFonts w:ascii="Noto Sans Arabic" w:hAnsi="Noto Sans Arabic" w:cs="Noto Sans Arabi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Noto Kufi Arabic" w:hAnsi="Noto Kufi Arabic" w:cs="Noto Kufi Arabic"/>
      <w:b/>
      <w:bCs/>
      <w:color w:val="263238"/>
      <w:sz w:val="32"/>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Noto Kufi Arabic" w:hAnsi="Noto Kufi Arabic" w:cs="Noto Kufi Arabic"/>
      <w:b/>
      <w:bCs/>
      <w:color w:val="9A7650"/>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Noto Kufi Arabic" w:hAnsi="Noto Kufi Arabic" w:cs="Noto Kufi Arabic"/>
      <w:b/>
      <w:bCs/>
      <w:color w:val="26323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Theme="majorHAnsi" w:eastAsiaTheme="majorEastAsia" w:hAnsiTheme="majorHAnsi" w:cstheme="majorBidi" w:ascii="Noto Kufi Arabic" w:hAnsi="Noto Kufi Arabic" w:cs="Noto Kufi Arabic"/>
      <w:b/>
      <w:color w:val="26323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pPr>
      <w:spacing w:before="80" w:after="80" w:line="300" w:lineRule="auto"/>
    </w:pPr>
    <w:rPr>
      <w:rFonts w:ascii="Noto Sans Arabic" w:hAnsi="Noto Sans Arabic" w:cs="Noto Sans Arabic"/>
      <w:color w:val="263238"/>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IbraheemHabib.sa/PaymentPolicy" TargetMode="External"/><Relationship Id="rId11" Type="http://schemas.openxmlformats.org/officeDocument/2006/relationships/hyperlink" Target="https://IbraheemHabib.sa/refunding" TargetMode="External"/><Relationship Id="rId12" Type="http://schemas.openxmlformats.org/officeDocument/2006/relationships/hyperlink" Target="https://IbraheemHabib.sa/PrivacyPolicy" TargetMode="External"/><Relationship Id="rId13" Type="http://schemas.openxmlformats.org/officeDocument/2006/relationships/hyperlink" Target="https://IbraheemHabib.sa/TermsAndConditions" TargetMode="External"/><Relationship Id="rId14" Type="http://schemas.openxmlformats.org/officeDocument/2006/relationships/hyperlink" Target="mailto:Ibraheem@IbraheemHabib.sa" TargetMode="External"/><Relationship Id="rId15" Type="http://schemas.openxmlformats.org/officeDocument/2006/relationships/hyperlink" Target="https://IbraheemHabib.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